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widowControl/>
        <w:spacing w:after="0" w:line="240" w:lineRule="auto"/>
        <w:jc w:val="center"/>
      </w:pPr>
      <w:r>
        <w:rPr>
          <w:rFonts w:ascii="Montserrat" w:hAnsi="Montserrat" w:eastAsia="Montserrat"/>
        </w:rPr>
        <w:drawing>
          <wp:inline xmlns:a="http://schemas.openxmlformats.org/drawingml/2006/main" xmlns:pic="http://schemas.openxmlformats.org/drawingml/2006/picture">
            <wp:extent cx="5580000" cy="7893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d-cov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3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Montserrat" w:hAnsi="Montserrat" w:eastAsia="Montserrat"/>
        </w:rPr>
        <w:br w:type="page"/>
      </w:r>
    </w:p>
    <w:p>
      <w:pPr>
        <w:pStyle w:val="Heading1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СТЕКЛОЦЕНТР.ПТЗ: сделка Bitrix24 и заказ 1С в одном процессе</w:t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Как связали работу менеджеров в CRM с исполнением индивидуальных заказов в 1С — без публикации базы в интернет и без дублей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Клиент:</w:t>
      </w:r>
      <w:r>
        <w:rPr>
          <w:rFonts w:ascii="Montserrat" w:cs="Arial" w:eastAsia="Montserrat" w:hAnsi="Montserrat"/>
          <w:sz w:val="22"/>
          <w:szCs w:val="22"/>
        </w:rPr>
        <w:t xml:space="preserve"> СтеклоЦентр.ПТЗ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Исполнитель:</w:t>
      </w:r>
      <w:r>
        <w:rPr>
          <w:rFonts w:ascii="Montserrat" w:cs="Arial" w:eastAsia="Montserrat" w:hAnsi="Montserrat"/>
          <w:sz w:val="22"/>
          <w:szCs w:val="22"/>
        </w:rPr>
        <w:t xml:space="preserve"> Weboptimize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Отрасль:</w:t>
      </w:r>
      <w:r>
        <w:rPr>
          <w:rFonts w:ascii="Montserrat" w:cs="Arial" w:eastAsia="Montserrat" w:hAnsi="Montserrat"/>
          <w:sz w:val="22"/>
          <w:szCs w:val="22"/>
        </w:rPr>
        <w:t xml:space="preserve"> производство и монтаж изделий из стекла, зеркал и витражей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>Состав решения:</w:t>
      </w:r>
      <w:r>
        <w:rPr>
          <w:rFonts w:ascii="Montserrat" w:cs="Arial" w:eastAsia="Montserrat" w:hAnsi="Montserrat"/>
          <w:sz w:val="22"/>
          <w:szCs w:val="22"/>
        </w:rPr>
        <w:t xml:space="preserve"> Bitrix24, 1С, локальный модуль обмена, двусторонний обмен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Статус:</w:t>
      </w:r>
      <w:r>
        <w:rPr>
          <w:rFonts w:ascii="Montserrat" w:cs="Arial" w:eastAsia="Montserrat" w:hAnsi="Montserrat"/>
          <w:sz w:val="22"/>
          <w:szCs w:val="22"/>
        </w:rPr>
        <w:t xml:space="preserve"> решение внедрено в рабочий процесс; полученный экономический эффект подтверждён клиентом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</w:pPr>
      <w:r>
        <w:rPr>
          <w:rFonts w:ascii="Montserrat" w:hAnsi="Montserrat" w:eastAsia="Montserrat"/>
        </w:rPr>
        <w:t>Результат в цифрах</w:t>
      </w:r>
    </w:p>
    <w:p>
      <w:pPr>
        <w:widowControl/>
        <w:spacing w:after="100"/>
      </w:pPr>
      <w:r>
        <w:rPr>
          <w:rFonts w:ascii="Montserrat" w:hAnsi="Montserrat" w:eastAsia="Montserrat"/>
        </w:rPr>
        <w:t>Решение устранило повторный ввод между Bitrix24 и 1С, ускорило работу с заказом и позволило компании расти без расширения штата.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9E3E0"/>
          <w:left w:val="single" w:sz="6" w:color="B9E3E0"/>
          <w:bottom w:val="single" w:sz="6" w:color="B9E3E0"/>
          <w:right w:val="single" w:sz="6" w:color="B9E3E0"/>
          <w:insideH w:val="single" w:sz="6" w:color="B9E3E0"/>
          <w:insideV w:val="single" w:sz="6" w:color="B9E3E0"/>
        </w:tblBorders>
      </w:tblPr>
      <w:tblGrid>
        <w:gridCol w:w="4680"/>
        <w:gridCol w:w="4680"/>
      </w:tblGrid>
      <w:tr>
        <w:tc>
          <w:tcPr>
            <w:tcW w:type="dxa" w:w="4680"/>
            <w:shd w:fill="E7F6F5"/>
          </w:tcPr>
          <w:p>
            <w:pPr>
              <w:spacing w:before="100" w:after="40"/>
              <w:jc w:val="center"/>
            </w:pPr>
            <w:r>
              <w:rPr>
                <w:rFonts w:ascii="Montserrat" w:hAnsi="Montserrat" w:eastAsia="Montserrat"/>
                <w:b/>
                <w:color w:val="008C8C"/>
                <w:sz w:val="27"/>
              </w:rPr>
              <w:t>15–25 минут до / 2–3 минуты после</w:t>
            </w:r>
          </w:p>
          <w:p>
            <w:pPr>
              <w:spacing w:before="0" w:after="100"/>
              <w:jc w:val="center"/>
            </w:pPr>
            <w:r>
              <w:rPr>
                <w:rFonts w:ascii="Montserrat" w:hAnsi="Montserrat" w:eastAsia="Montserrat"/>
                <w:color w:val="667085"/>
                <w:sz w:val="17"/>
              </w:rPr>
              <w:t>передача заказа и сверка статуса</w:t>
            </w:r>
          </w:p>
        </w:tc>
        <w:tc>
          <w:tcPr>
            <w:tcW w:type="dxa" w:w="4680"/>
            <w:shd w:fill="E7F6F5"/>
          </w:tcPr>
          <w:p>
            <w:pPr>
              <w:spacing w:before="100" w:after="40"/>
              <w:jc w:val="center"/>
            </w:pPr>
            <w:r>
              <w:rPr>
                <w:rFonts w:ascii="Montserrat" w:hAnsi="Montserrat" w:eastAsia="Montserrat"/>
                <w:b/>
                <w:color w:val="008C8C"/>
                <w:sz w:val="27"/>
              </w:rPr>
              <w:t>−80–90%</w:t>
            </w:r>
          </w:p>
          <w:p>
            <w:pPr>
              <w:spacing w:before="0" w:after="100"/>
              <w:jc w:val="center"/>
            </w:pPr>
            <w:r>
              <w:rPr>
                <w:rFonts w:ascii="Montserrat" w:hAnsi="Montserrat" w:eastAsia="Montserrat"/>
                <w:color w:val="667085"/>
                <w:sz w:val="17"/>
              </w:rPr>
              <w:t>времени на одну операцию</w:t>
            </w:r>
          </w:p>
        </w:tc>
      </w:tr>
      <w:tr>
        <w:tc>
          <w:tcPr>
            <w:tcW w:type="dxa" w:w="4680"/>
            <w:shd w:fill="E7F6F5"/>
          </w:tcPr>
          <w:p>
            <w:pPr>
              <w:spacing w:before="100" w:after="40"/>
              <w:jc w:val="center"/>
            </w:pPr>
            <w:r>
              <w:rPr>
                <w:rFonts w:ascii="Montserrat" w:hAnsi="Montserrat" w:eastAsia="Montserrat"/>
                <w:b/>
                <w:color w:val="008C8C"/>
                <w:sz w:val="27"/>
              </w:rPr>
              <w:t>94–156 часов в месяц</w:t>
            </w:r>
          </w:p>
          <w:p>
            <w:pPr>
              <w:spacing w:before="0" w:after="100"/>
              <w:jc w:val="center"/>
            </w:pPr>
            <w:r>
              <w:rPr>
                <w:rFonts w:ascii="Montserrat" w:hAnsi="Montserrat" w:eastAsia="Montserrat"/>
                <w:color w:val="667085"/>
                <w:sz w:val="17"/>
              </w:rPr>
              <w:t>высвобождено для работы с клиентами</w:t>
            </w:r>
          </w:p>
        </w:tc>
        <w:tc>
          <w:tcPr>
            <w:tcW w:type="dxa" w:w="4680"/>
            <w:shd w:fill="E7F6F5"/>
          </w:tcPr>
          <w:p>
            <w:pPr>
              <w:spacing w:before="100" w:after="40"/>
              <w:jc w:val="center"/>
            </w:pPr>
            <w:r>
              <w:rPr>
                <w:rFonts w:ascii="Montserrat" w:hAnsi="Montserrat" w:eastAsia="Montserrat"/>
                <w:b/>
                <w:color w:val="008C8C"/>
                <w:sz w:val="27"/>
              </w:rPr>
              <w:t>0,5–1 млн руб. в год</w:t>
            </w:r>
          </w:p>
          <w:p>
            <w:pPr>
              <w:spacing w:before="0" w:after="100"/>
              <w:jc w:val="center"/>
            </w:pPr>
            <w:r>
              <w:rPr>
                <w:rFonts w:ascii="Montserrat" w:hAnsi="Montserrat" w:eastAsia="Montserrat"/>
                <w:color w:val="667085"/>
                <w:sz w:val="17"/>
              </w:rPr>
              <w:t>фактически полученная экономия</w:t>
            </w:r>
          </w:p>
        </w:tc>
      </w:tr>
    </w:tbl>
    <w:p>
      <w:pPr>
        <w:widowControl/>
        <w:spacing w:before="100" w:after="160"/>
        <w:jc w:val="center"/>
      </w:pPr>
      <w:r>
        <w:rPr>
          <w:rFonts w:ascii="Montserrat" w:hAnsi="Montserrat" w:eastAsia="Montserrat"/>
          <w:b/>
          <w:color w:val="008C8C"/>
          <w:sz w:val="18"/>
        </w:rPr>
        <w:t>Новый сотрудник не потребовался  •  запас производительности 0,6–1 ставки  •  окупаемость 3–5 месяцев</w:t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Результат в одном абзаце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Weboptimize внедрил решение, в котором менеджер отправляет подготовленную сделку из Bitrix24 в 1С одним действием. Система создаёт один производственный заказ, сохраняет устойчивую связь и при повторной отправке обновляет тот же документ. Производство продолжает работать в привычной 1С, а номер заказа, статус, сроки, сумма и сведения о переделке возвращаются в исходную сделку Bitrix24. Обмен выполняется локально на сервере компании: база 1С не публикуется в интернет, а временные ошибки обрабатываются очередью и безопасными повторными попытками.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Ключевые результаты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Результат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Что изменилось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Одна сделка — один заказ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Повторная команда обновляет существующий заказ вместо создания дубля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Двусторонний обмен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Данные сделки передаются в 1С, а производственные статусы возвращаются в Bitrix24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 остаётся закрытой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Не требуется веб-публикация базы или входящий доступ из интернета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Разделены роли систем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Bitrix24 хранит согласованный ввод менеджера, 1С — исполнение заказа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Управляемые ошибки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Команда остаётся в очереди, причина видна, повтор выполняется автоматически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Работающее решение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Создание заказа, повторная отправка, возврат изменений и автоматическое восстановление после временной ошибки работают в ежедневном процессе</w:t>
            </w:r>
          </w:p>
        </w:tc>
      </w:tr>
    </w:tbl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О компании и контекст проекта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СтеклоЦентр.ПТЗ производит и устанавливает изделия из стекла, зеркал и витражей: душевые и лестничные ограждения, козырьки, перегородки, торговое оборудование, зеркала с подсветкой, двери-купе, кухонные фартуки и другие изделия по индивидуальным размерам.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По сведениям официального сайта, компания работает с 1998 года, выполнила тысячи заказов и сотрудничала более чем с 10 тысячами частных клиентов и 1000 организаций. Более 500 организаций указаны как постоянные клиенты. Для такого бизнеса заказ проходит длинный путь: замер, согласование конфигурации и материалов, расчёт, производство, работа с поставщиками, контроль готовности, доставка и монтаж.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Чем больше индивидуальных параметров и участников, тем важнее сохранять единый номер заказа, актуальные сроки и понятную связь между общением с клиентом и производственным исполнением.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Исходная ситуация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Менеджеры ведут коммуникацию и коммерческую часть в Bitrix24, а производство работает в 1С. При этом действующая конфигурация 1С относится к устаревшему поколению и использует собственную форму производственного заказа. Стандартный коннектор не покрывает эту задачу без доработки и дополнительной проверки.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До проектирования интеграции возникали четыре ключевых разрыва: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Данные сделки нужно было переносить между системами вручную.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Менеджеру приходилось отдельно уточнять номер, статус, срок и сумму заказа.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Повторная передача могла привести к созданию второго заказа.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Публикация старой базы 1С в интернет создавала лишнюю поверхность доступа.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Бизнес-задача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Нужно было сделать простой и предсказуемый маршрут: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сделка Bitrix24 → один заказ 1С → исполнение в 1С → актуальные данные в той же сделке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При этом система должна была: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не менять привычную работу производства в 1С;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не открывать базу 1С для входящих интернет-запросов;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сохранять формат номера и устойчивую связь сделки и заказа;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безопасно переживать временную недоступность одной из сторон;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>Как устроено решение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Роли компонентов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Bitrix24 — рабочее место менеджера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В сделке находятся контактные данные, адрес доставки, комментарий, команда «Отправить в 1С» и поля обратного статуса.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>Защищённое подключение к Bitrix24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hAnsi="Montserrat" w:eastAsia="Montserrat"/>
        </w:rPr>
        <w:t>Модуль обмена передаёт данные между сделкой Bitrix24 и связанным заказом 1С.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>Локальный модуль обмена — безопасный посредник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hAnsi="Montserrat" w:eastAsia="Montserrat"/>
        </w:rPr>
        <w:t>Локальный модуль запускается по расписанию, передаёт команды, проверяет существующую связь и при временной ошибке автоматически повторяет обмен.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1С — источник производственной истины</w:t>
      </w:r>
      <w:r>
        <w:rPr>
          <w:rFonts w:ascii="Montserrat" w:cs="Arial" w:eastAsia="Montserrat" w:hAnsi="Montserrat"/>
          <w:sz w:val="22"/>
          <w:szCs w:val="22"/>
        </w:rPr>
        <w:t xml:space="preserve">  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Заказ создаётся и исполняется в привычной для производства форме 1С. Статус, сроки, сумма и переделка принадлежат 1С и возвращаются в CRM после изменения.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Почему база 1С не публикуется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Все обращения к 1С выполняются локально на сервере компании. Наружу открывается только исходящее защищённое интернет-соединение к Bitrix24. Веб-публикация и входящее подключение к базе 1С не требуются.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Как разделена ответственность за данные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Данные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Владелец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Правило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Контакт, адрес доставки, комментарий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Bitrix24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Передаются как согласованный снимок при команде менеджера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Номер и дата заказа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Создаются в 1С и возвращаются в сделку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Производственный статус и сроки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Меняются сотрудниками производства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Сумма и сведения о переделке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1С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Отображаются в связанной сделке без ручного копирования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Состояние обмена и ошибка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Модуль обмена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Показывают, обработана ли команда и требуется ли внимание</w:t>
            </w:r>
          </w:p>
        </w:tc>
      </w:tr>
    </w:tbl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Путь пользователя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Менеджер заполняет сделку и проверяет данные, необходимые производству.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Поле «Отправить в 1С» переводится в значение «Да».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Модуль обмена проверяет наличие связи: создаёт первый заказ или обновляет существующий.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Сотрудник производства работает с заказом в 1С как обычно.</w:t>
      </w:r>
      <w:r>
        <w:rPr>
          <w:rFonts w:ascii="Montserrat" w:cs="Consolas" w:eastAsia="Montserrat" w:hAnsi="Montserrat"/>
          <w:sz w:val="20"/>
          <w:szCs w:val="20"/>
          <w:shd w:fill="F0F0F0" w:val="clear"/>
        </w:rPr>
      </w:r>
      <w:r>
        <w:rPr>
          <w:rFonts w:ascii="Montserrat" w:cs="Arial" w:eastAsia="Montserrat" w:hAnsi="Montserrat"/>
          <w:sz w:val="22"/>
          <w:szCs w:val="22"/>
        </w:rPr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Менеджер видит номер заказа, статус, сроки, сумму и переделку в той же сделке.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Обратная синхронизация</w:t>
      </w:r>
    </w:p>
    <w:p>
      <w:pPr>
        <w:widowControl/>
        <w:spacing w:after="120" w:before="40"/>
        <w:jc w:val="center"/>
      </w:pPr>
      <w:r>
        <w:rPr>
          <w:rFonts w:ascii="Montserrat" w:cs="Arial" w:eastAsia="Montserrat" w:hAnsi="Montserrat"/>
          <w:i/>
          <w:iCs/>
          <w:color w:val="666666"/>
          <w:sz w:val="18"/>
          <w:szCs w:val="18"/>
        </w:rPr>
        <w:t xml:space="preserve">Как изменения возвращаются в сделку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После создания связи 1С становится владельцем производственных полей. Если сотрудник меняет статус, срок готовности, сумму или сведения о переделке, модуль обмена находит изменение только среди уже связанных заказов и обновляет исходную сделку Bitrix24.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Менеджеру не нужно: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открывать 1С ради проверки статуса;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писать производству с вопросом о готовности;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вручную переносить номер или сумму;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создавать дополнительную сделку;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повторно заводить заказ после временной ошибки.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Ключевая защита — сохранённая связь между сделкой и заказом. Он отделяет команду «создать» от команды «обновить» и не позволяет повторной отправке превратиться в новый заказ.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Надёжность и защита от дублей</w:t>
      </w:r>
    </w:p>
    <w:p>
      <w:pPr>
        <w:widowControl/>
        <w:spacing w:after="120" w:before="40"/>
        <w:jc w:val="center"/>
      </w:pPr>
      <w:r>
        <w:rPr>
          <w:rFonts w:ascii="Montserrat" w:hAnsi="Montserrat" w:eastAsia="Montserrat"/>
        </w:rPr>
        <w:t>Как система предотвращает повтор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Что происходит при временной ошибке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Пользователь видит понятное состояние и время следующей попытки.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Команда не теряется и остаётся в ограниченной очереди.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Система повторно проверяет существующую связь.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После восстановления обновляется тот же заказ.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Если лимит попыток исчерпан, событие требует внимания, но не создаёт дубль.</w:t>
      </w:r>
    </w:p>
    <w:p>
      <w:pPr>
        <w:pStyle w:val="Heading3"/>
        <w:widowControl/>
        <w:spacing w:after="120" w:before="240"/>
      </w:pPr>
      <w:r>
        <w:rPr>
          <w:rFonts w:ascii="Montserrat" w:hAnsi="Montserrat" w:eastAsia="Montserrat"/>
        </w:rPr>
        <w:t>Надёжность решения</w:t>
      </w:r>
    </w:p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hAnsi="Montserrat" w:eastAsia="Montserrat"/>
        </w:rPr>
        <w:t>Что реализовано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Реализованный сценарий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Результат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Заказ создаётся автоматически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Данные сделки передаются в производственный заказ 1С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Повтор обновляет существующий заказ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Второй заказ не создаётся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Изменения возвращаются в Bitrix24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Статус, срок, сумма и переделка видны в исходной сделке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Обмен восстанавливается автоматически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Команда выполняется повторно без создания дубля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Обмен запускается по расписанию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t>Данные обновляются автоматически</w:t>
            </w:r>
          </w:p>
        </w:tc>
      </w:tr>
    </w:tbl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>Полученная экономия и рост производительности</w:t>
      </w:r>
    </w:p>
    <w:p>
      <w:pPr>
        <w:widowControl/>
        <w:spacing w:after="80" w:before="80"/>
      </w:pPr>
      <w:r>
        <w:rPr>
          <w:rFonts w:ascii="Montserrat" w:hAnsi="Montserrat" w:eastAsia="Montserrat"/>
        </w:rPr>
        <w:t>После внедрения сотрудники перестали переносить между Bitrix24 и 1С номер заказа, сумму, срок и производственный статус. Компания сохранила текущий состав отдела и увеличила его пропускную способность без найма ещё одного сотрудника.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7E0E7"/>
          <w:left w:val="single" w:sz="5" w:color="D7E0E7"/>
          <w:bottom w:val="single" w:sz="5" w:color="D7E0E7"/>
          <w:right w:val="single" w:sz="5" w:color="D7E0E7"/>
          <w:insideH w:val="single" w:sz="5" w:color="D7E0E7"/>
          <w:insideV w:val="single" w:sz="5" w:color="D7E0E7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5243A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/>
                <w:color w:val="FFFFFF"/>
                <w:sz w:val="16"/>
              </w:rPr>
              <w:t>KPI</w:t>
            </w:r>
          </w:p>
        </w:tc>
        <w:tc>
          <w:tcPr>
            <w:tcW w:type="dxa" w:w="2340"/>
            <w:shd w:fill="15243A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/>
                <w:color w:val="FFFFFF"/>
                <w:sz w:val="16"/>
              </w:rPr>
              <w:t>До внедрения</w:t>
            </w:r>
          </w:p>
        </w:tc>
        <w:tc>
          <w:tcPr>
            <w:tcW w:type="dxa" w:w="2340"/>
            <w:shd w:fill="15243A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/>
                <w:color w:val="FFFFFF"/>
                <w:sz w:val="16"/>
              </w:rPr>
              <w:t>После внедрения</w:t>
            </w:r>
          </w:p>
        </w:tc>
        <w:tc>
          <w:tcPr>
            <w:tcW w:type="dxa" w:w="2340"/>
            <w:shd w:fill="15243A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/>
                <w:color w:val="FFFFFF"/>
                <w:sz w:val="16"/>
              </w:rPr>
              <w:t>Полученный результат</w:t>
            </w:r>
          </w:p>
        </w:tc>
      </w:tr>
      <w:tr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Передача заказа и сверка статуса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15–25 минут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2–3 минуты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−80–90% времени</w:t>
            </w:r>
          </w:p>
        </w:tc>
      </w:tr>
      <w:tr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Повторный ручной ввод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Каждый заказ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Не требуется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−100% дублирования</w:t>
            </w:r>
          </w:p>
        </w:tc>
      </w:tr>
      <w:tr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Изменения из 1С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Ручной запрос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Автоматически за 1–2 минуты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Без ожидания</w:t>
            </w:r>
          </w:p>
        </w:tc>
      </w:tr>
      <w:tr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Высвобождённое время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Перенос и уточнения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94–156 часов в месяц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0,6–1 ставки</w:t>
            </w:r>
          </w:p>
        </w:tc>
      </w:tr>
      <w:tr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Расширение штата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Требовался сотрудник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Работает текущая команда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Один найм не потребовался</w:t>
            </w:r>
          </w:p>
        </w:tc>
      </w:tr>
      <w:tr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Экономический эффект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Новая постоянная статья расходов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Расходы не возникли</w:t>
            </w:r>
          </w:p>
        </w:tc>
        <w:tc>
          <w:tcPr>
            <w:tcW w:type="dxa" w:w="2340"/>
            <w:shd w:fill="F3F6F8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0,5–1 млн руб. экономии в год</w:t>
            </w:r>
          </w:p>
        </w:tc>
      </w:tr>
      <w:tr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Окупаемость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Стоимость проекта — 200 000 руб.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Эффект каждый месяц</w:t>
            </w:r>
          </w:p>
        </w:tc>
        <w:tc>
          <w:tcPr>
            <w:tcW w:type="dxa" w:w="2340"/>
            <w:shd w:fill="FFFFFF"/>
          </w:tcPr>
          <w:p>
            <w:pPr>
              <w:spacing w:after="40" w:before="40"/>
            </w:pPr>
            <w:r>
              <w:rPr>
                <w:rFonts w:ascii="Montserrat" w:hAnsi="Montserrat" w:eastAsia="Montserrat"/>
                <w:b w:val="0"/>
                <w:color w:val="17212B"/>
                <w:sz w:val="16"/>
              </w:rPr>
              <w:t>3–5 месяцев</w:t>
            </w:r>
          </w:p>
        </w:tc>
      </w:tr>
    </w:tbl>
    <w:p>
      <w:pPr>
        <w:widowControl/>
      </w:pPr>
      <w:r>
        <w:rPr>
          <w:rFonts w:ascii="Montserrat" w:hAnsi="Montserrat" w:eastAsia="Montserrat"/>
        </w:rPr>
        <w:t>Расчёт выполнен для потока 15–25 заказов в день, 22 рабочих дня в месяц и средней экономии 17 минут на одном заказе. Денежный результат включает стоимость дополнительной рабочей ставки для работодателя и подтверждён клиентом как фактически полученный.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Для менеджера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одна карточка для коммуникации и контроля исполнения;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актуальный номер, статус, срок и сумма без ручного запроса;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понятное состояние обмена;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безопасная повторная отправка.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Для производства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работа остаётся в привычном документе 1С;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не требуется переходить в Bitrix24;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CRM не меняет производственный статус;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существующая конфигурация не публикуется в интернет.</w:t>
      </w:r>
    </w:p>
    <w:p>
      <w:pPr>
        <w:pStyle w:val="Heading3"/>
        <w:widowControl/>
        <w:spacing w:after="120" w:before="240"/>
      </w:pPr>
      <w:r>
        <w:rPr>
          <w:rFonts w:ascii="Montserrat" w:cs="Arial" w:eastAsia="Montserrat" w:hAnsi="Montserrat"/>
          <w:sz w:val="22"/>
          <w:szCs w:val="22"/>
        </w:rPr>
        <w:t xml:space="preserve">Для руководителя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продажа и исполнение связаны однозначно;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 xml:space="preserve">легче определить, где находится заказ;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ошибки обмена отделены от бизнес-статусов;</w:t>
      </w:r>
    </w:p>
    <w:p>
      <w:pPr>
        <w:pStyle w:val="ListParagraph"/>
        <w:widowControl/>
        <w:numPr>
          <w:ilvl w:val="0"/>
          <w:numId w:val="3"/>
        </w:numPr>
        <w:spacing w:after="40" w:before="40"/>
      </w:pPr>
      <w:r>
        <w:rPr>
          <w:rFonts w:ascii="Montserrat" w:cs="Arial" w:eastAsia="Montserrat" w:hAnsi="Montserrat"/>
          <w:sz w:val="22"/>
          <w:szCs w:val="22"/>
        </w:rPr>
        <w:t>решение можно развивать поэтапно без замены всех систем.</w:t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До и после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До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После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Статус заказа уточняется между системами и сотрудниками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Производственные поля возвращаются в исходную сделку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Повторный перенос данных создаёт риск дубля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Повторная команда обновляет заказ по устойчивой связи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Для интеграции рассматривалась публикация старой 1С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Обмен выполняется локально через Локальный модуль обмена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Причина временной ошибки неочевидна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>Есть состояние, очередь, повторные попытки и контролируемая остановка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Ответственность за поля может смешиваться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У каждого типа данных определён один владелец</w:t>
            </w:r>
          </w:p>
        </w:tc>
      </w:tr>
    </w:tbl>
    <w:p>
      <w:pPr>
        <w:widowControl/>
        <w:pBdr>
          <w:bottom w:val="single" w:color="CCCCCC" w:sz="6" w:space="1"/>
        </w:pBdr>
        <w:spacing w:after="200" w:before="200"/>
      </w:pP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Почему решение масштабируется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Системы не подменяют друг друга.</w:t>
      </w:r>
      <w:r>
        <w:rPr>
          <w:rFonts w:ascii="Montserrat" w:cs="Arial" w:eastAsia="Montserrat" w:hAnsi="Montserrat"/>
          <w:sz w:val="22"/>
          <w:szCs w:val="22"/>
        </w:rPr>
        <w:t xml:space="preserve"> Bitrix24 остаётся CRM, 1С — системой производства и учёта.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>Повтор защищён от создания дубля.</w:t>
      </w:r>
      <w:r>
        <w:rPr>
          <w:rFonts w:ascii="Montserrat" w:cs="Arial" w:eastAsia="Montserrat" w:hAnsi="Montserrat"/>
          <w:sz w:val="22"/>
          <w:szCs w:val="22"/>
        </w:rPr>
        <w:t xml:space="preserve"> Повторная команда безопасна и не создаёт новый документ.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Нет обязательной веб-публикации 1С.</w:t>
      </w:r>
      <w:r>
        <w:rPr>
          <w:rFonts w:ascii="Montserrat" w:cs="Arial" w:eastAsia="Montserrat" w:hAnsi="Montserrat"/>
          <w:sz w:val="22"/>
          <w:szCs w:val="22"/>
        </w:rPr>
        <w:t xml:space="preserve"> Решение подходит для закрытой базы 1С внутри компании.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>Состав данных можно менять независимо от способа обмена.</w:t>
      </w:r>
      <w:r>
        <w:rPr>
          <w:rFonts w:ascii="Montserrat" w:cs="Arial" w:eastAsia="Montserrat" w:hAnsi="Montserrat"/>
          <w:sz w:val="22"/>
          <w:szCs w:val="22"/>
        </w:rPr>
        <w:t xml:space="preserve"> Можно уточнять бизнес-сопоставления без перестройки всей интеграции.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hAnsi="Montserrat" w:eastAsia="Montserrat"/>
        </w:rPr>
        <w:t>Решение развивается без остановки процесса. Новые поля и сценарии можно добавлять по мере роста бизнеса.</w:t>
      </w:r>
    </w:p>
    <w:p>
      <w:pPr>
        <w:pStyle w:val="ListParagraph"/>
        <w:widowControl/>
        <w:numPr>
          <w:ilvl w:val="0"/>
          <w:numId w:val="2"/>
        </w:numPr>
        <w:spacing w:after="40" w:before="40"/>
      </w:pPr>
      <w:r>
        <w:rPr>
          <w:rFonts w:ascii="Montserrat" w:cs="Arial" w:eastAsia="Montserrat" w:hAnsi="Montserrat"/>
          <w:b/>
          <w:bCs/>
          <w:sz w:val="22"/>
          <w:szCs w:val="22"/>
        </w:rPr>
        <w:t>Причина ошибки видна.</w:t>
      </w:r>
      <w:r>
        <w:rPr>
          <w:rFonts w:ascii="Montserrat" w:cs="Arial" w:eastAsia="Montserrat" w:hAnsi="Montserrat"/>
          <w:sz w:val="22"/>
          <w:szCs w:val="22"/>
        </w:rPr>
        <w:t xml:space="preserve"> Очередь, лимит повторов и проверка работоспособности позволяют сопровождать решение без ручного поиска причины.</w:t>
      </w:r>
    </w:p>
    <w:p>
      <w:pPr>
        <w:pStyle w:val="Heading2"/>
        <w:widowControl/>
        <w:spacing w:after="120" w:before="360"/>
      </w:pPr>
      <w:r>
        <w:rPr>
          <w:rFonts w:ascii="Montserrat" w:cs="Arial" w:eastAsia="Montserrat" w:hAnsi="Montserrat"/>
          <w:sz w:val="22"/>
          <w:szCs w:val="22"/>
        </w:rPr>
        <w:t xml:space="preserve">Итог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>Проект связал коммерческую работу менеджера с исполнением индивидуального заказа, не заставляя сотрудников менять привычные системы. Bitrix24 принимает согласованный ввод и показывает результат, 1С управляет производственным заказом, а локальный модуль обмена обеспечивает контролируемый обмен между ними.</w:t>
      </w:r>
    </w:p>
    <w:p>
      <w:pPr>
        <w:widowControl/>
        <w:spacing w:after="80" w:before="80"/>
      </w:pPr>
      <w:r>
        <w:rPr>
          <w:rFonts w:ascii="Montserrat" w:cs="Arial" w:eastAsia="Montserrat" w:hAnsi="Montserrat"/>
          <w:sz w:val="22"/>
          <w:szCs w:val="22"/>
        </w:rPr>
        <w:t xml:space="preserve">Главный результат — не просто перенос полей, а устойчивое правило: </w:t>
      </w:r>
      <w:r>
        <w:rPr>
          <w:rFonts w:ascii="Montserrat" w:cs="Arial" w:eastAsia="Montserrat" w:hAnsi="Montserrat"/>
          <w:b/>
          <w:bCs/>
          <w:sz w:val="22"/>
          <w:szCs w:val="22"/>
        </w:rPr>
        <w:t xml:space="preserve">одна сделка соответствует одному заказу, повтор безопасен, производственные данные возвращаются в CRM, а база 1С остаётся закрытой</w:t>
      </w:r>
      <w:r>
        <w:rPr>
          <w:rFonts w:ascii="Montserrat" w:cs="Arial" w:eastAsia="Montserrat" w:hAnsi="Montserrat"/>
          <w:sz w:val="22"/>
          <w:szCs w:val="22"/>
        </w:rPr>
        <w:t xml:space="preserve">.</w:t>
      </w:r>
    </w:p>
    <w:p>
      <w:pPr>
        <w:widowControl/>
        <w:pBdr>
          <w:bottom w:val="single" w:color="CCCCCC" w:sz="6" w:space="1"/>
        </w:pBdr>
        <w:spacing w:after="200" w:before="200"/>
      </w:pPr>
    </w:p>
    <w:sectPr>
      <w:headerReference w:type="default" r:id="rId7"/>
      <w:footerReference w:type="default" r:id="rId8"/>
      <w:headerReference w:type="first" r:id="rId16"/>
      <w:footerReference w:type="first" r:id="rId17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Стр.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case-ptz-source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  <w:lvl w:ilvl="1" w15:tentative="1">
      <w:start w:val="1"/>
      <w:numFmt w:val="bullet"/>
      <w:lvlText w:val="-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Montserrat" w:hAnsi="Montserrat" w:eastAsia="Montserrat"/>
      <w:b/>
      <w:color w:val="15243A"/>
      <w:sz w:val="44"/>
      <w:szCs w:val="32"/>
    </w:rPr>
  </w:style>
  <w:style w:type="paragraph" w:styleId="Heading2">
    <w:name w:val="Heading 2"/>
    <w:basedOn w:val="Normal"/>
    <w:next w:val="Normal"/>
    <w:qFormat/>
    <w:pPr>
      <w:keepNext/>
    </w:pPr>
    <w:rPr>
      <w:rFonts w:ascii="Montserrat" w:hAnsi="Montserrat" w:eastAsia="Montserrat"/>
      <w:b/>
      <w:color w:val="008C8C"/>
      <w:sz w:val="32"/>
      <w:szCs w:val="26"/>
    </w:rPr>
  </w:style>
  <w:style w:type="paragraph" w:styleId="Heading3">
    <w:name w:val="Heading 3"/>
    <w:basedOn w:val="Normal"/>
    <w:next w:val="Normal"/>
    <w:qFormat/>
    <w:pPr>
      <w:keepNext/>
    </w:pPr>
    <w:rPr>
      <w:rFonts w:ascii="Montserrat" w:hAnsi="Montserrat" w:eastAsia="Montserrat"/>
      <w:b/>
      <w:color w:val="1769AA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rFonts w:ascii="Montserrat" w:cs="Arial" w:eastAsia="Montserrat" w:hAnsi="Montserrat"/>
      <w:b/>
      <w:bCs/>
      <w:color w:val="15243A"/>
      <w:sz w:val="44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00"/>
      <w:outlineLvl w:val="1"/>
    </w:pPr>
    <w:rPr>
      <w:rFonts w:ascii="Montserrat" w:cs="Arial" w:eastAsia="Montserrat" w:hAnsi="Montserrat"/>
      <w:b/>
      <w:bCs/>
      <w:color w:val="008C8C"/>
      <w:sz w:val="32"/>
      <w:szCs w:val="30"/>
    </w:rPr>
  </w:style>
  <w:style w:type="paragraph" w:styleId="Heading3">
    <w:name w:val="Heading 3"/>
    <w:basedOn w:val="Normal"/>
    <w:next w:val="Normal"/>
    <w:qFormat/>
    <w:pPr>
      <w:keepNext/>
      <w:spacing w:after="120" w:before="240"/>
      <w:outlineLvl w:val="2"/>
    </w:pPr>
    <w:rPr>
      <w:rFonts w:ascii="Montserrat" w:cs="Arial" w:eastAsia="Montserrat" w:hAnsi="Montserrat"/>
      <w:b/>
      <w:bCs/>
      <w:color w:val="1769AA"/>
      <w:sz w:val="24"/>
      <w:szCs w:val="26"/>
    </w:rPr>
  </w:style>
  <w:style w:type="paragraph" w:styleId="Heading4">
    <w:name w:val="Heading 4"/>
    <w:basedOn w:val="Normal"/>
    <w:next w:val="Normal"/>
    <w:qFormat/>
    <w:pPr>
      <w:spacing w:after="100" w:before="200"/>
      <w:outlineLvl w:val="3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4" Type="http://schemas.openxmlformats.org/officeDocument/2006/relationships/fontTable" Target="fontTable.xml"/><Relationship Id="rId15" Type="http://schemas.openxmlformats.org/officeDocument/2006/relationships/image" Target="media/image1.png"/><Relationship Id="rId16" Type="http://schemas.openxmlformats.org/officeDocument/2006/relationships/header" Target="header2.xml"/><Relationship Id="rId17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СтеклоЦентр.ПТЗ: сделка Bitrix24 и заказ 1С в одном процессе</dc:title>
  <dc:creator>Un-named</dc:creator>
  <cp:lastModifiedBy>Un-named</cp:lastModifiedBy>
  <cp:revision>1</cp:revision>
  <dcterms:created xsi:type="dcterms:W3CDTF">2026-07-27T23:31:46.791Z</dcterms:created>
  <dcterms:modified xsi:type="dcterms:W3CDTF">2026-07-27T23:31:46.791Z</dcterms:modified>
  <dc:subject>Кейс интеграции Bitrix24 и 1С</dc:subject>
  <cp:keywords>СтеклоЦентр.ПТЗ, Bitrix24, 1С, интеграция, Weboptimize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