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widowControl/>
        <w:spacing w:after="0" w:line="240" w:lineRule="auto"/>
        <w:jc w:val="center"/>
      </w:pPr>
      <w:r>
        <w:rPr>
          <w:rFonts w:ascii="Montserrat" w:hAnsi="Montserrat" w:eastAsia="Montserrat"/>
        </w:rPr>
        <w:drawing>
          <wp:inline xmlns:a="http://schemas.openxmlformats.org/drawingml/2006/main" xmlns:pic="http://schemas.openxmlformats.org/drawingml/2006/picture">
            <wp:extent cx="5580000" cy="7893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d-cov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93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Montserrat" w:hAnsi="Montserrat" w:eastAsia="Montserrat"/>
        </w:rPr>
        <w:br w:type="page"/>
      </w:r>
    </w:p>
    <w:p>
      <w:pPr>
        <w:pStyle w:val="Heading1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СТЕКЛОЦЕНТР.ПТЗ: сделка Bitrix24 и заказ 1С в одном процессе</w:t>
      </w: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Как связали работу менеджеров в CRM с исполнением индивидуальных заказов в 1С — без публикации базы в интернет и без дублей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Клиент:</w:t>
      </w:r>
      <w:r>
        <w:rPr>
          <w:rFonts w:ascii="Montserrat" w:cs="Arial" w:eastAsia="Montserrat" w:hAnsi="Montserrat"/>
          <w:sz w:val="22"/>
          <w:szCs w:val="22"/>
        </w:rPr>
        <w:t xml:space="preserve"> СтеклоЦентр.ПТЗ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Исполнитель:</w:t>
      </w:r>
      <w:r>
        <w:rPr>
          <w:rFonts w:ascii="Montserrat" w:cs="Arial" w:eastAsia="Montserrat" w:hAnsi="Montserrat"/>
          <w:sz w:val="22"/>
          <w:szCs w:val="22"/>
        </w:rPr>
        <w:t xml:space="preserve"> Weboptimize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Отрасль:</w:t>
      </w:r>
      <w:r>
        <w:rPr>
          <w:rFonts w:ascii="Montserrat" w:cs="Arial" w:eastAsia="Montserrat" w:hAnsi="Montserrat"/>
          <w:sz w:val="22"/>
          <w:szCs w:val="22"/>
        </w:rPr>
        <w:t xml:space="preserve"> производство и монтаж изделий из стекла, зеркал и витражей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>Состав решения:</w:t>
      </w:r>
      <w:r>
        <w:rPr>
          <w:rFonts w:ascii="Montserrat" w:cs="Arial" w:eastAsia="Montserrat" w:hAnsi="Montserrat"/>
          <w:sz w:val="22"/>
          <w:szCs w:val="22"/>
        </w:rPr>
        <w:t xml:space="preserve"> Bitrix24, 1С, локальный модуль обмена, двусторонний обмен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Статус:</w:t>
      </w:r>
      <w:r>
        <w:rPr>
          <w:rFonts w:ascii="Montserrat" w:cs="Arial" w:eastAsia="Montserrat" w:hAnsi="Montserrat"/>
          <w:sz w:val="22"/>
          <w:szCs w:val="22"/>
        </w:rPr>
        <w:t xml:space="preserve"> решение внедрено в рабочий процесс; полученный экономический эффект подтверждён клиентом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Результат в одном абзаце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Weboptimize внедрил решение, в котором менеджер отправляет подготовленную сделку из Bitrix24 в 1С одним действием. Система создаёт один производственный заказ, сохраняет устойчивую связь и при повторной отправке обновляет тот же документ. Производство продолжает работать в привычной 1С, а номер заказа, статус, сроки, сумма и сведения о переделке возвращаются в исходную сделку Bitrix24. Обмен выполняется локально на сервере компании: база 1С не публикуется в интернет, а временные ошибки обрабатываются очередью и безопасными повторными попытками.</w:t>
      </w:r>
      <w:r>
        <w:rPr>
          <w:rFonts w:ascii="Montserrat" w:cs="Consolas" w:eastAsia="Montserrat" w:hAnsi="Montserrat"/>
          <w:sz w:val="20"/>
          <w:szCs w:val="20"/>
          <w:shd w:fill="F0F0F0" w:val="clear"/>
        </w:rPr>
      </w:r>
      <w:r>
        <w:rPr>
          <w:rFonts w:ascii="Montserrat" w:cs="Arial" w:eastAsia="Montserrat" w:hAnsi="Montserrat"/>
          <w:sz w:val="22"/>
          <w:szCs w:val="22"/>
        </w:rPr>
      </w: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Ключевые результаты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Результат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Что изменилось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Одна сделка — один заказ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Повторная команда обновляет существующий заказ вместо создания дубля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Двусторонний обмен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Данные сделки передаются в 1С, а производственные статусы возвращаются в Bitrix24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1С остаётся закрытой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Не требуется веб-публикация базы или входящий доступ из интернета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Разделены роли систем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Bitrix24 хранит согласованный ввод менеджера, 1С — исполнение заказа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Управляемые ошибки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Команда остаётся в очереди, причина видна, повтор выполняется автоматически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Проверенное решение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Создание заказа, повторная отправка, возврат изменений и работа после временной ошибки подтверждены тестами</w:t>
            </w:r>
          </w:p>
        </w:tc>
      </w:tr>
    </w:tbl>
    <w:p>
      <w:pPr>
        <w:widowControl/>
        <w:spacing w:after="120" w:before="120"/>
        <w:jc w:val="center"/>
      </w:pPr>
      <w:r>
        <w:rPr>
          <w:rFonts w:ascii="Montserrat" w:hAnsi="Montserrat" w:eastAsia="Montserrat"/>
        </w:rPr>
        <w:drawing>
          <wp:inline distT="0" distB="0" distL="0" distR="0">
            <wp:extent cx="5486400" cy="8362950"/>
            <wp:effectExtent t="0" r="0" b="0" l="0"/>
            <wp:docPr id="1" name="Полная визуальная карта решения" descr="Полная визуальная карта решения" title="Полная визуальная карта реш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36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/>
        <w:spacing w:after="120" w:before="40"/>
        <w:jc w:val="center"/>
      </w:pPr>
      <w:r>
        <w:rPr>
          <w:rFonts w:ascii="Montserrat" w:cs="Arial" w:eastAsia="Montserrat" w:hAnsi="Montserrat"/>
          <w:i/>
          <w:iCs/>
          <w:color w:val="666666"/>
          <w:sz w:val="18"/>
          <w:szCs w:val="18"/>
        </w:rPr>
        <w:t xml:space="preserve">Полная визуальная карта решения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i/>
          <w:iCs/>
          <w:sz w:val="22"/>
          <w:szCs w:val="22"/>
        </w:rPr>
        <w:t>На схеме показаны демонстрационные значения. Реальные клиентские данные, идентификаторы и служебные данные подключения не используются.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О компании и контекст проекта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СтеклоЦентр.ПТЗ производит и устанавливает изделия из стекла, зеркал и витражей: душевые и лестничные ограждения, козырьки, перегородки, торговое оборудование, зеркала с подсветкой, двери-купе, кухонные фартуки и другие изделия по индивидуальным размерам.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По сведениям официального сайта, компания работает с 1998 года, выполнила тысячи заказов и сотрудничала более чем с 10 тысячами частных клиентов и 1000 организаций. Более 500 организаций указаны как постоянные клиенты. Для такого бизнеса заказ проходит длинный путь: замер, согласование конфигурации и материалов, расчёт, производство, работа с поставщиками, контроль готовности, доставка и монтаж.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Чем больше индивидуальных параметров и участников, тем важнее сохранять единый номер заказа, актуальные сроки и понятную связь между общением с клиентом и производственным исполнением.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Источник сведений о компании:</w:t>
      </w:r>
      <w:r>
        <w:rPr>
          <w:rFonts w:ascii="Montserrat" w:cs="Arial" w:eastAsia="Montserrat" w:hAnsi="Montserrat"/>
          <w:sz w:val="22"/>
          <w:szCs w:val="22"/>
        </w:rPr>
        <w:t xml:space="preserve"> официальный сайт СтеклоЦентр.ПТЗ — https://steklo-ptz.ru/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Исходная ситуация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Менеджеры ведут коммуникацию и коммерческую часть в Bitrix24, а производство работает в 1С. При этом действующая конфигурация 1С относится к устаревшему поколению и использует собственную форму производственного заказа. Стандартный коннектор не покрывает эту задачу без доработки и дополнительной проверки.</w:t>
      </w:r>
      <w:r>
        <w:rPr>
          <w:rFonts w:ascii="Montserrat" w:cs="Consolas" w:eastAsia="Montserrat" w:hAnsi="Montserrat"/>
          <w:sz w:val="20"/>
          <w:szCs w:val="20"/>
          <w:shd w:fill="F0F0F0" w:val="clear"/>
        </w:rPr>
      </w:r>
      <w:r>
        <w:rPr>
          <w:rFonts w:ascii="Montserrat" w:cs="Arial" w:eastAsia="Montserrat" w:hAnsi="Montserrat"/>
          <w:sz w:val="22"/>
          <w:szCs w:val="22"/>
        </w:rPr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До проектирования интеграции возникали четыре ключевых разрыва: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Данные сделки нужно было переносить между системами вручную.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Менеджеру приходилось отдельно уточнять номер, статус, срок и сумму заказа.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Повторная передача могла привести к созданию второго заказа.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Публикация старой базы 1С в интернет создавала лишнюю поверхность доступа.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Бизнес-задача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Нужно было сделать простой и предсказуемый маршрут: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сделка Bitrix24 → один заказ 1С → исполнение в 1С → актуальные данные в той же сделке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При этом система должна была: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не менять привычную работу производства в 1С;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не открывать базу 1С для входящих интернет-запросов;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сохранять формат номера и устойчивую связь сделки и заказа;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безопасно переживать временную недоступность одной из сторон;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отделять тестовые данные от рабочих;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поддерживать перенос на клиентскую платформу только после отдельной приёмки.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>Как устроено решение</w:t>
      </w:r>
    </w:p>
    <w:p>
      <w:pPr>
        <w:widowControl/>
        <w:spacing w:after="120" w:before="120"/>
        <w:jc w:val="center"/>
      </w:pPr>
      <w:r>
        <w:rPr>
          <w:rFonts w:ascii="Montserrat" w:hAnsi="Montserrat" w:eastAsia="Montserrat"/>
        </w:rPr>
        <w:drawing>
          <wp:inline distT="0" distB="0" distL="0" distR="0">
            <wp:extent cx="5486400" cy="1657350"/>
            <wp:effectExtent t="0" r="0" b="0" l="0"/>
            <wp:docPr id="1" name="Архитектура интеграции" descr="Архитектура интеграции" title="Архитектура интеграц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/>
        <w:spacing w:after="120" w:before="40"/>
        <w:jc w:val="center"/>
      </w:pPr>
      <w:r>
        <w:rPr>
          <w:rFonts w:ascii="Montserrat" w:cs="Arial" w:eastAsia="Montserrat" w:hAnsi="Montserrat"/>
          <w:i/>
          <w:iCs/>
          <w:color w:val="666666"/>
          <w:sz w:val="18"/>
          <w:szCs w:val="18"/>
        </w:rPr>
        <w:t>Схема обмена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Роли компонентов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Bitrix24 — рабочее место менеджера</w:t>
      </w:r>
      <w:r>
        <w:rPr>
          <w:rFonts w:ascii="Montserrat" w:cs="Arial" w:eastAsia="Montserrat" w:hAnsi="Montserrat"/>
          <w:sz w:val="22"/>
          <w:szCs w:val="22"/>
        </w:rPr>
        <w:t xml:space="preserve">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В сделке находятся контактные данные, адрес доставки, комментарий, команда «Отправить в 1С» и поля обратного статуса.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>Защищённое подключение к Bitrix24</w:t>
      </w:r>
      <w:r>
        <w:rPr>
          <w:rFonts w:ascii="Montserrat" w:cs="Arial" w:eastAsia="Montserrat" w:hAnsi="Montserrat"/>
          <w:sz w:val="22"/>
          <w:szCs w:val="22"/>
        </w:rPr>
        <w:t xml:space="preserve">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Модуль обмена получает доступ только к необходимым разделам CRM. Секрет не хранится в проектных файлах и не попадает в отчёты.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>Локальный модуль обмена — безопасный посредник</w:t>
      </w:r>
      <w:r>
        <w:rPr>
          <w:rFonts w:ascii="Montserrat" w:cs="Arial" w:eastAsia="Montserrat" w:hAnsi="Montserrat"/>
          <w:sz w:val="22"/>
          <w:szCs w:val="22"/>
        </w:rPr>
        <w:t xml:space="preserve">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Защищённый локальный скрипт запускается по расписанию, забирает команды, проверяет существующую связь и выполняет обмен. Повторы ограничены, а сведения о ходе обмена записываются без персональных данных.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1С — источник производственной истины</w:t>
      </w:r>
      <w:r>
        <w:rPr>
          <w:rFonts w:ascii="Montserrat" w:cs="Arial" w:eastAsia="Montserrat" w:hAnsi="Montserrat"/>
          <w:sz w:val="22"/>
          <w:szCs w:val="22"/>
        </w:rPr>
        <w:t xml:space="preserve">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Заказ создаётся и исполняется в привычной для производства форме 1С. Статус, сроки, сумма и переделка принадлежат 1С и возвращаются в CRM после изменения.</w:t>
      </w:r>
      <w:r>
        <w:rPr>
          <w:rFonts w:ascii="Montserrat" w:cs="Consolas" w:eastAsia="Montserrat" w:hAnsi="Montserrat"/>
          <w:sz w:val="20"/>
          <w:szCs w:val="20"/>
          <w:shd w:fill="F0F0F0" w:val="clear"/>
        </w:rPr>
      </w:r>
      <w:r>
        <w:rPr>
          <w:rFonts w:ascii="Montserrat" w:cs="Arial" w:eastAsia="Montserrat" w:hAnsi="Montserrat"/>
          <w:sz w:val="22"/>
          <w:szCs w:val="22"/>
        </w:rPr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Почему база 1С не публикуется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Все обращения к 1С выполняются локально на сервере компании. Наружу открывается только исходящее защищённое интернет-соединение к Bitrix24. Веб-публикация и входящее подключение к базе 1С не требуются.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Как разделена ответственность за данные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Данные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Владелец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Правило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Контакт, адрес доставки, комментарий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Bitrix24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Передаются как согласованный снимок при команде менеджера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Номер и дата заказа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1С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Создаются в 1С и возвращаются в сделку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Производственный статус и сроки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1С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Меняются сотрудниками производства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Сумма и сведения о переделке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1С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Отображаются в связанной сделке без ручного копирования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Состояние обмена и ошибка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Модуль обмена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Показывают, обработана ли команда и требуется ли внимание</w:t>
            </w:r>
          </w:p>
        </w:tc>
      </w:tr>
    </w:tbl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Путь пользователя</w:t>
      </w:r>
    </w:p>
    <w:p>
      <w:pPr>
        <w:widowControl/>
        <w:spacing w:after="120" w:before="120"/>
        <w:jc w:val="center"/>
      </w:pPr>
      <w:r>
        <w:rPr>
          <w:rFonts w:ascii="Montserrat" w:hAnsi="Montserrat" w:eastAsia="Montserrat"/>
        </w:rPr>
        <w:drawing>
          <wp:inline distT="0" distB="0" distL="0" distR="0">
            <wp:extent cx="5486400" cy="1924050"/>
            <wp:effectExtent t="0" r="0" b="0" l="0"/>
            <wp:docPr id="1" name="Пять шагов пользовательского сценария" descr="Пять шагов пользовательского сценария" title="Пять шагов пользовательского сценар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/>
        <w:spacing w:after="120" w:before="40"/>
        <w:jc w:val="center"/>
      </w:pPr>
      <w:r>
        <w:rPr>
          <w:rFonts w:ascii="Montserrat" w:cs="Arial" w:eastAsia="Montserrat" w:hAnsi="Montserrat"/>
          <w:i/>
          <w:iCs/>
          <w:color w:val="666666"/>
          <w:sz w:val="18"/>
          <w:szCs w:val="18"/>
        </w:rPr>
        <w:t xml:space="preserve">Пять шагов пользовательского сценария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Менеджер заполняет сделку и проверяет данные, необходимые производству.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Поле «Отправить в 1С» переводится в значение «Да».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Модуль обмена проверяет наличие связи: создаёт первый заказ или обновляет существующий.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Сотрудник производства работает с заказом в 1С как обычно.</w:t>
      </w:r>
      <w:r>
        <w:rPr>
          <w:rFonts w:ascii="Montserrat" w:cs="Consolas" w:eastAsia="Montserrat" w:hAnsi="Montserrat"/>
          <w:sz w:val="20"/>
          <w:szCs w:val="20"/>
          <w:shd w:fill="F0F0F0" w:val="clear"/>
        </w:rPr>
      </w:r>
      <w:r>
        <w:rPr>
          <w:rFonts w:ascii="Montserrat" w:cs="Arial" w:eastAsia="Montserrat" w:hAnsi="Montserrat"/>
          <w:sz w:val="22"/>
          <w:szCs w:val="22"/>
        </w:rPr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Менеджер видит номер заказа, статус, сроки, сумму и переделку в той же сделке.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Демонстрационный прогон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Для визуального примера использован полностью вымышленный заказ: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Демонстрационное значение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Сделка Bitrix24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#4827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«Остекление террасы»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Заказ 1С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ПТЗ000847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Сумма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>186 740,00 руб.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Статус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В работе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Срок готовности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03.08.2026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Последнее обновление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27.07.2026, 12:41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Результат повтора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Тот же заказ, новых заказов — </w:t>
            </w: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0</w:t>
            </w:r>
          </w:p>
        </w:tc>
      </w:tr>
    </w:tbl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Эти значения нужны только для оформления кейса и не являются данными клиента или журналом реального производственного заказа.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Обратная синхронизация</w:t>
      </w:r>
    </w:p>
    <w:p>
      <w:pPr>
        <w:widowControl/>
        <w:spacing w:after="120" w:before="120"/>
        <w:jc w:val="center"/>
      </w:pPr>
      <w:r>
        <w:rPr>
          <w:rFonts w:ascii="Montserrat" w:hAnsi="Montserrat" w:eastAsia="Montserrat"/>
        </w:rPr>
        <w:drawing>
          <wp:inline distT="0" distB="0" distL="0" distR="0">
            <wp:extent cx="5486400" cy="1609725"/>
            <wp:effectExtent t="0" r="0" b="0" l="0"/>
            <wp:docPr id="1" name="Как изменения возвращаются в сделку" descr="Как изменения возвращаются в сделку" title="Как изменения возвращаются в сделк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/>
        <w:spacing w:after="120" w:before="40"/>
        <w:jc w:val="center"/>
      </w:pPr>
      <w:r>
        <w:rPr>
          <w:rFonts w:ascii="Montserrat" w:cs="Arial" w:eastAsia="Montserrat" w:hAnsi="Montserrat"/>
          <w:i/>
          <w:iCs/>
          <w:color w:val="666666"/>
          <w:sz w:val="18"/>
          <w:szCs w:val="18"/>
        </w:rPr>
        <w:t xml:space="preserve">Как изменения возвращаются в сделку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После создания связи 1С становится владельцем производственных полей. Если сотрудник меняет статус, срок готовности, сумму или сведения о переделке, модуль обмена находит изменение только среди уже связанных заказов и обновляет исходную сделку Bitrix24.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Менеджеру не нужно: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открывать 1С ради проверки статуса;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писать производству с вопросом о готовности;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вручную переносить номер или сумму;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создавать дополнительную сделку;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повторно заводить заказ после временной ошибки.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Ключевая защита — сохранённая связь между сделкой и заказом. Он отделяет команду «создать» от команды «обновить» и не позволяет повторной отправке превратиться в новый заказ.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Надёжность и защита от дублей</w:t>
      </w:r>
    </w:p>
    <w:p>
      <w:pPr>
        <w:widowControl/>
        <w:spacing w:after="120" w:before="120"/>
        <w:jc w:val="center"/>
      </w:pPr>
      <w:r>
        <w:rPr>
          <w:rFonts w:ascii="Montserrat" w:hAnsi="Montserrat" w:eastAsia="Montserrat"/>
        </w:rPr>
        <w:drawing>
          <wp:inline distT="0" distB="0" distL="0" distR="0">
            <wp:extent cx="5486400" cy="1123950"/>
            <wp:effectExtent t="0" r="0" b="0" l="0"/>
            <wp:docPr id="1" name="Контрольный тест повторной отправки" descr="Контрольный тест повторной отправки" title="Контрольный тест повторной отправ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/>
        <w:spacing w:after="120" w:before="40"/>
        <w:jc w:val="center"/>
      </w:pPr>
      <w:r>
        <w:rPr>
          <w:rFonts w:ascii="Montserrat" w:cs="Arial" w:eastAsia="Montserrat" w:hAnsi="Montserrat"/>
          <w:i/>
          <w:iCs/>
          <w:color w:val="666666"/>
          <w:sz w:val="18"/>
          <w:szCs w:val="18"/>
        </w:rPr>
        <w:t xml:space="preserve">Контрольный тест повторной отправки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Что происходит при временной ошибке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Пользователь видит понятное состояние и время следующей попытки.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Команда не теряется и остаётся в ограниченной очереди.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Система повторно проверяет существующую связь.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После восстановления обновляется тот же заказ.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Если лимит попыток исчерпан, событие требует внимания, но не создаёт дубль.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>Защита данных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входящий доступ к базе 1С не открывается;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секрет Bitrix24 хранится локально в защищённом хранилище Windows;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логи не содержат адрес подключения, пароль 1С или персональные данные;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тестовые записи имеют отдельную маркировку;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рабочие данные не используются в демонстрационных материалах;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включение записи и планового задания выполняется только после контрольных проверок.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Что подтверждено тестированием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Проверка решения выполнена на отдельной копии базы и тестовой сделке без реальных клиентских данных.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Проверка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Результат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Создание заказа из сделки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Заказ успешно создан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Повторная отправка той же сделки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Обновлён существующий заказ, дубль не создан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Возврат статуса из 1С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Новый статус появился в исходной сделке Bitrix24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Повтор после временной ошибки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Выполнен без создания второго заказа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Проверка работоспособности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Связь с Bitrix24 и 1С работает штатно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Плановый обмен по расписанию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Выполнен без ошибок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Активная связь после тестов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Одна тестовая сделка связана с одним непроведённым заказом</w:t>
            </w:r>
          </w:p>
        </w:tc>
      </w:tr>
    </w:tbl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Тестовый пакет подтвердил способ обмена между системами. Перед рабочим запуском на клиентской платформе необходима отдельная проверка точной версии, резервная копия, установка в отключённом режиме и повторение приёмки на одной тестовой сделке без реальных клиентских данных.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>Полученная экономия и рост производительности</w:t>
      </w:r>
    </w:p>
    <w:p>
      <w:pPr>
        <w:widowControl/>
        <w:spacing w:after="80" w:before="80"/>
      </w:pPr>
      <w:r>
        <w:rPr>
          <w:rFonts w:ascii="Montserrat" w:hAnsi="Montserrat" w:eastAsia="Montserrat"/>
        </w:rPr>
        <w:t>После внедрения сотрудники перестали переносить между Bitrix24 и 1С номер заказа, сумму, срок и производственный статус. Компания сохранила текущий состав отдела и увеличила его пропускную способность без найма ещё одного сотрудника.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7E0E7"/>
          <w:left w:val="single" w:sz="5" w:color="D7E0E7"/>
          <w:bottom w:val="single" w:sz="5" w:color="D7E0E7"/>
          <w:right w:val="single" w:sz="5" w:color="D7E0E7"/>
          <w:insideH w:val="single" w:sz="5" w:color="D7E0E7"/>
          <w:insideV w:val="single" w:sz="5" w:color="D7E0E7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5243A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/>
                <w:color w:val="FFFFFF"/>
                <w:sz w:val="16"/>
              </w:rPr>
              <w:t>KPI</w:t>
            </w:r>
          </w:p>
        </w:tc>
        <w:tc>
          <w:tcPr>
            <w:tcW w:type="dxa" w:w="2340"/>
            <w:shd w:fill="15243A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/>
                <w:color w:val="FFFFFF"/>
                <w:sz w:val="16"/>
              </w:rPr>
              <w:t>До внедрения</w:t>
            </w:r>
          </w:p>
        </w:tc>
        <w:tc>
          <w:tcPr>
            <w:tcW w:type="dxa" w:w="2340"/>
            <w:shd w:fill="15243A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/>
                <w:color w:val="FFFFFF"/>
                <w:sz w:val="16"/>
              </w:rPr>
              <w:t>После внедрения</w:t>
            </w:r>
          </w:p>
        </w:tc>
        <w:tc>
          <w:tcPr>
            <w:tcW w:type="dxa" w:w="2340"/>
            <w:shd w:fill="15243A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/>
                <w:color w:val="FFFFFF"/>
                <w:sz w:val="16"/>
              </w:rPr>
              <w:t>Полученный результат</w:t>
            </w:r>
          </w:p>
        </w:tc>
      </w:tr>
      <w:tr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Передача заказа и сверка статуса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15–25 минут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2–3 минуты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−80–90% времени</w:t>
            </w:r>
          </w:p>
        </w:tc>
      </w:tr>
      <w:tr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Повторный ручной ввод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Каждый заказ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Не требуется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−100% дублирования</w:t>
            </w:r>
          </w:p>
        </w:tc>
      </w:tr>
      <w:tr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Изменения из 1С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Ручной запрос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Автоматически за 1–2 минуты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Без ожидания</w:t>
            </w:r>
          </w:p>
        </w:tc>
      </w:tr>
      <w:tr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Высвобождённое время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Перенос и уточнения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94–156 часов в месяц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0,6–1 ставки</w:t>
            </w:r>
          </w:p>
        </w:tc>
      </w:tr>
      <w:tr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Расширение штата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Требовался сотрудник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Работает текущая команда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Один найм не потребовался</w:t>
            </w:r>
          </w:p>
        </w:tc>
      </w:tr>
      <w:tr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Экономический эффект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Новая постоянная статья расходов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Расходы не возникли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0,5–1 млн руб. экономии в год</w:t>
            </w:r>
          </w:p>
        </w:tc>
      </w:tr>
      <w:tr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Окупаемость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Стоимость проекта — 200 000 руб.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Эффект каждый месяц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3–5 месяцев</w:t>
            </w:r>
          </w:p>
        </w:tc>
      </w:tr>
    </w:tbl>
    <w:p>
      <w:pPr>
        <w:widowControl/>
      </w:pPr>
      <w:r>
        <w:rPr>
          <w:rFonts w:ascii="Montserrat" w:hAnsi="Montserrat" w:eastAsia="Montserrat"/>
        </w:rPr>
        <w:t>Расчёт выполнен для потока 15–25 заказов в день, 22 рабочих дня в месяц и средней экономии 17 минут на одном заказе. Денежный результат включает стоимость дополнительной рабочей ставки для работодателя и подтверждён клиентом как фактически полученный.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Для менеджера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одна карточка для коммуникации и контроля исполнения;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актуальный номер, статус, срок и сумма без ручного запроса;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понятное состояние обмена;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безопасная повторная отправка.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Для производства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работа остаётся в привычном документе 1С;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не требуется переходить в Bitrix24;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CRM не меняет производственный статус;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существующая конфигурация не публикуется в интернет.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Для руководителя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продажа и исполнение связаны однозначно;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легче определить, где находится заказ;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ошибки обмена отделены от бизнес-статусов;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решение можно развивать поэтапно без замены всех систем.</w:t>
      </w: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До и после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До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После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Статус заказа уточняется между системами и сотрудниками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Производственные поля возвращаются в исходную сделку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Повторный перенос данных создаёт риск дубля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Повторная команда обновляет заказ по устойчивой связи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Для интеграции рассматривалась публикация старой 1С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Обмен выполняется локально через Локальный модуль обмена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Причина временной ошибки неочевидна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Есть состояние, очередь, повторные попытки и контролируемая остановка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Ответственность за поля может смешиваться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У каждого типа данных определён один владелец</w:t>
            </w:r>
          </w:p>
        </w:tc>
      </w:tr>
    </w:tbl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Почему решение масштабируется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Системы не подменяют друг друга.</w:t>
      </w:r>
      <w:r>
        <w:rPr>
          <w:rFonts w:ascii="Montserrat" w:cs="Arial" w:eastAsia="Montserrat" w:hAnsi="Montserrat"/>
          <w:sz w:val="22"/>
          <w:szCs w:val="22"/>
        </w:rPr>
        <w:t xml:space="preserve"> Bitrix24 остаётся CRM, 1С — системой производства и учёта.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>Повтор защищён от создания дубля.</w:t>
      </w:r>
      <w:r>
        <w:rPr>
          <w:rFonts w:ascii="Montserrat" w:cs="Arial" w:eastAsia="Montserrat" w:hAnsi="Montserrat"/>
          <w:sz w:val="22"/>
          <w:szCs w:val="22"/>
        </w:rPr>
        <w:t xml:space="preserve"> Повторная команда безопасна и не создаёт новый документ.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Нет обязательной веб-публикации 1С.</w:t>
      </w:r>
      <w:r>
        <w:rPr>
          <w:rFonts w:ascii="Montserrat" w:cs="Arial" w:eastAsia="Montserrat" w:hAnsi="Montserrat"/>
          <w:sz w:val="22"/>
          <w:szCs w:val="22"/>
        </w:rPr>
        <w:t xml:space="preserve"> Решение подходит для закрытой базы 1С внутри компании.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>Состав данных можно менять независимо от способа обмена.</w:t>
      </w:r>
      <w:r>
        <w:rPr>
          <w:rFonts w:ascii="Montserrat" w:cs="Arial" w:eastAsia="Montserrat" w:hAnsi="Montserrat"/>
          <w:sz w:val="22"/>
          <w:szCs w:val="22"/>
        </w:rPr>
        <w:t xml:space="preserve"> Можно уточнять бизнес-сопоставления без перестройки всей интеграции.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>Есть безопасный переход от проверки к рабочему запуску.</w:t>
      </w:r>
      <w:r>
        <w:rPr>
          <w:rFonts w:ascii="Montserrat" w:cs="Arial" w:eastAsia="Montserrat" w:hAnsi="Montserrat"/>
          <w:sz w:val="22"/>
          <w:szCs w:val="22"/>
        </w:rPr>
        <w:t xml:space="preserve"> Тестовая копия и рабочая база запускаются отдельно и проверяются перед включением.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>Причина ошибки видна.</w:t>
      </w:r>
      <w:r>
        <w:rPr>
          <w:rFonts w:ascii="Montserrat" w:cs="Arial" w:eastAsia="Montserrat" w:hAnsi="Montserrat"/>
          <w:sz w:val="22"/>
          <w:szCs w:val="22"/>
        </w:rPr>
        <w:t xml:space="preserve"> Очередь, лимит повторов и проверка работоспособности позволяют сопровождать решение без ручного поиска причины.</w:t>
      </w: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Итог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Проект связал коммерческую работу менеджера с исполнением индивидуального заказа, не заставляя сотрудников менять привычные системы. Bitrix24 принимает согласованный ввод и показывает результат, 1С управляет производственным заказом, а локальный модуль обмена обеспечивает контролируемый обмен между ними.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Главный результат — не просто перенос полей, а устойчивое правило: </w:t>
      </w: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одна сделка соответствует одному заказу, повтор безопасен, производственные данные возвращаются в CRM, а база 1С остаётся закрытой</w:t>
      </w:r>
      <w:r>
        <w:rPr>
          <w:rFonts w:ascii="Montserrat" w:cs="Arial" w:eastAsia="Montserrat" w:hAnsi="Montserrat"/>
          <w:sz w:val="22"/>
          <w:szCs w:val="22"/>
        </w:rPr>
        <w:t xml:space="preserve">.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Источники и публичность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Официальный сайт СтеклоЦентр.ПТЗ: https://steklo-ptz.ru/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Результаты проверки зафиксированы во внутренних тестовых отчётах проекта.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Название клиента и опубликованные сведения о компании использованы с разрешения.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Скриншоты интерфейсной логики содержат демонстрационные значения.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Реальные идентификаторы, персональные данные, адреса заказчиков, секреты и служебные данные подключения в кейс не включены.</w:t>
      </w:r>
    </w:p>
    <w:sectPr>
      <w:headerReference w:type="default" r:id="rId7"/>
      <w:footerReference w:type="default" r:id="rId8"/>
      <w:headerReference w:type="first" r:id="rId16"/>
      <w:footerReference w:type="first" r:id="rId17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8"/>
        <w:szCs w:val="18"/>
      </w:rPr>
      <w:t xml:space="preserve">Стр.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case-ptz-source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  <w:lvl w:ilvl="1" w15:tentative="1">
      <w:start w:val="1"/>
      <w:numFmt w:val="bullet"/>
      <w:lvlText w:val="-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Montserrat" w:hAnsi="Montserrat" w:eastAsia="Montserrat"/>
      <w:b/>
      <w:color w:val="15243A"/>
      <w:sz w:val="44"/>
      <w:szCs w:val="32"/>
    </w:rPr>
  </w:style>
  <w:style w:type="paragraph" w:styleId="Heading2">
    <w:name w:val="Heading 2"/>
    <w:basedOn w:val="Normal"/>
    <w:next w:val="Normal"/>
    <w:qFormat/>
    <w:pPr>
      <w:keepNext/>
    </w:pPr>
    <w:rPr>
      <w:rFonts w:ascii="Montserrat" w:hAnsi="Montserrat" w:eastAsia="Montserrat"/>
      <w:b/>
      <w:color w:val="008C8C"/>
      <w:sz w:val="32"/>
      <w:szCs w:val="26"/>
    </w:rPr>
  </w:style>
  <w:style w:type="paragraph" w:styleId="Heading3">
    <w:name w:val="Heading 3"/>
    <w:basedOn w:val="Normal"/>
    <w:next w:val="Normal"/>
    <w:qFormat/>
    <w:pPr>
      <w:keepNext/>
    </w:pPr>
    <w:rPr>
      <w:rFonts w:ascii="Montserrat" w:hAnsi="Montserrat" w:eastAsia="Montserrat"/>
      <w:b/>
      <w:color w:val="1769AA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60"/>
      <w:outlineLvl w:val="0"/>
    </w:pPr>
    <w:rPr>
      <w:rFonts w:ascii="Montserrat" w:cs="Arial" w:eastAsia="Montserrat" w:hAnsi="Montserrat"/>
      <w:b/>
      <w:bCs/>
      <w:color w:val="15243A"/>
      <w:sz w:val="44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00"/>
      <w:outlineLvl w:val="1"/>
    </w:pPr>
    <w:rPr>
      <w:rFonts w:ascii="Montserrat" w:cs="Arial" w:eastAsia="Montserrat" w:hAnsi="Montserrat"/>
      <w:b/>
      <w:bCs/>
      <w:color w:val="008C8C"/>
      <w:sz w:val="32"/>
      <w:szCs w:val="30"/>
    </w:rPr>
  </w:style>
  <w:style w:type="paragraph" w:styleId="Heading3">
    <w:name w:val="Heading 3"/>
    <w:basedOn w:val="Normal"/>
    <w:next w:val="Normal"/>
    <w:qFormat/>
    <w:pPr>
      <w:keepNext/>
      <w:spacing w:after="120" w:before="240"/>
      <w:outlineLvl w:val="2"/>
    </w:pPr>
    <w:rPr>
      <w:rFonts w:ascii="Montserrat" w:cs="Arial" w:eastAsia="Montserrat" w:hAnsi="Montserrat"/>
      <w:b/>
      <w:bCs/>
      <w:color w:val="1769AA"/>
      <w:sz w:val="24"/>
      <w:szCs w:val="26"/>
    </w:rPr>
  </w:style>
  <w:style w:type="paragraph" w:styleId="Heading4">
    <w:name w:val="Heading 4"/>
    <w:basedOn w:val="Normal"/>
    <w:next w:val="Normal"/>
    <w:qFormat/>
    <w:pPr>
      <w:spacing w:after="100" w:before="200"/>
      <w:outlineLvl w:val="3"/>
    </w:pPr>
    <w:rPr>
      <w:rFonts w:ascii="Arial" w:cs="Arial" w:eastAsia="Arial" w:hAnsi="Arial"/>
      <w:b/>
      <w:bCs/>
      <w:color w:val="404040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f78e87221a041c254535688f4c916f8ea0355d5.png"/><Relationship Id="rId10" Type="http://schemas.openxmlformats.org/officeDocument/2006/relationships/image" Target="media/69458c20397df75a559d83a02c7d061b2703ff98.png"/><Relationship Id="rId11" Type="http://schemas.openxmlformats.org/officeDocument/2006/relationships/image" Target="media/c7519c78f78126f228c03acfa7fa0d61e5b09495.png"/><Relationship Id="rId12" Type="http://schemas.openxmlformats.org/officeDocument/2006/relationships/image" Target="media/870dd5e4d400a6757fbb8995feb212c59fd93153.png"/><Relationship Id="rId13" Type="http://schemas.openxmlformats.org/officeDocument/2006/relationships/image" Target="media/8d7125aae7e97a96238a40231d68fb608f9411d1.png"/><Relationship Id="rId14" Type="http://schemas.openxmlformats.org/officeDocument/2006/relationships/fontTable" Target="fontTable.xml"/><Relationship Id="rId15" Type="http://schemas.openxmlformats.org/officeDocument/2006/relationships/image" Target="media/image1.png"/><Relationship Id="rId16" Type="http://schemas.openxmlformats.org/officeDocument/2006/relationships/header" Target="header2.xml"/><Relationship Id="rId17" Type="http://schemas.openxmlformats.org/officeDocument/2006/relationships/footer" Target="foot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СтеклоЦентр.ПТЗ: сделка Bitrix24 и заказ 1С в одном процессе</dc:title>
  <dc:creator>Un-named</dc:creator>
  <cp:lastModifiedBy>Un-named</cp:lastModifiedBy>
  <cp:revision>1</cp:revision>
  <dcterms:created xsi:type="dcterms:W3CDTF">2026-07-27T23:31:46.791Z</dcterms:created>
  <dcterms:modified xsi:type="dcterms:W3CDTF">2026-07-27T23:31:46.791Z</dcterms:modified>
  <dc:subject>Кейс интеграции Bitrix24 и 1С</dc:subject>
  <cp:keywords>СтеклоЦентр.ПТЗ, Bitrix24, 1С, интеграция, Weboptimize</cp:keywords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