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550" w:rsidRPr="00057550" w:rsidRDefault="00057550" w:rsidP="007B38A1">
      <w:pPr>
        <w:pStyle w:val="Titre1"/>
        <w:numPr>
          <w:ilvl w:val="0"/>
          <w:numId w:val="0"/>
        </w:numPr>
        <w:jc w:val="center"/>
        <w:rPr>
          <w:u w:val="single"/>
        </w:rPr>
      </w:pPr>
      <w:bookmarkStart w:id="0" w:name="_GoBack"/>
      <w:bookmarkEnd w:id="0"/>
      <w:r w:rsidRPr="00057550">
        <w:rPr>
          <w:u w:val="single"/>
        </w:rPr>
        <w:t>Gestion de téléchargement d’Appel d’Offre</w:t>
      </w:r>
    </w:p>
    <w:p w:rsidR="00057550" w:rsidRPr="00057550" w:rsidRDefault="00057550" w:rsidP="00057550"/>
    <w:p w:rsidR="00057550" w:rsidRDefault="007B38A1" w:rsidP="007B38A1">
      <w:pPr>
        <w:pStyle w:val="Titre1"/>
        <w:numPr>
          <w:ilvl w:val="0"/>
          <w:numId w:val="0"/>
        </w:numPr>
      </w:pPr>
      <w:r>
        <w:t>I.</w:t>
      </w:r>
      <w:r w:rsidR="00057550">
        <w:t xml:space="preserve"> Contexte</w:t>
      </w:r>
    </w:p>
    <w:p w:rsidR="00057550" w:rsidRDefault="00057550" w:rsidP="00057550"/>
    <w:p w:rsidR="00057550" w:rsidRDefault="00057550" w:rsidP="00057550">
      <w:r>
        <w:t>L’application de gestion de téléchargement d’appel d’offre permet d’ajouter les documents nécessaires pour un appel d’offre donnée. Le visiteur accède au lien attaché à un appel d’offre et fournisse leur information afin d’obtenir un lien de téléchargement.</w:t>
      </w:r>
    </w:p>
    <w:p w:rsidR="00057550" w:rsidRDefault="00057550" w:rsidP="00057550">
      <w:r>
        <w:t>L’administrateur web d’autre part permet d’ajouter, modifier et supprimer les documents à chaque appel d’offre, il peut ajouter des personnes à notifier aussi lors d’un téléchargement.</w:t>
      </w:r>
    </w:p>
    <w:p w:rsidR="00057550" w:rsidRDefault="00057550" w:rsidP="00057550"/>
    <w:p w:rsidR="00057550" w:rsidRDefault="00057550" w:rsidP="00057550">
      <w:pPr>
        <w:pStyle w:val="Titre1"/>
        <w:numPr>
          <w:ilvl w:val="0"/>
          <w:numId w:val="0"/>
        </w:numPr>
      </w:pPr>
      <w:r>
        <w:t>II. Interface Administrateur</w:t>
      </w:r>
    </w:p>
    <w:p w:rsidR="00057550" w:rsidRDefault="00057550" w:rsidP="00057550">
      <w:pPr>
        <w:pStyle w:val="Titre2"/>
      </w:pPr>
      <w:r>
        <w:t>Login</w:t>
      </w:r>
    </w:p>
    <w:p w:rsidR="00057550" w:rsidRDefault="00057550" w:rsidP="00057550"/>
    <w:p w:rsidR="007526EB" w:rsidRDefault="008152BB" w:rsidP="00057550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78E8364" wp14:editId="31539CAC">
            <wp:simplePos x="0" y="0"/>
            <wp:positionH relativeFrom="column">
              <wp:posOffset>195580</wp:posOffset>
            </wp:positionH>
            <wp:positionV relativeFrom="paragraph">
              <wp:posOffset>287655</wp:posOffset>
            </wp:positionV>
            <wp:extent cx="5760720" cy="4382770"/>
            <wp:effectExtent l="0" t="0" r="0" b="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550">
        <w:t xml:space="preserve">Lien: </w:t>
      </w:r>
      <w:hyperlink r:id="rId6" w:history="1">
        <w:r w:rsidR="007526EB" w:rsidRPr="00BB3940">
          <w:rPr>
            <w:rStyle w:val="Lienhypertexte"/>
          </w:rPr>
          <w:t>http://02fidmg.org/admin</w:t>
        </w:r>
      </w:hyperlink>
    </w:p>
    <w:p w:rsidR="008152BB" w:rsidRDefault="008152BB" w:rsidP="00057550"/>
    <w:p w:rsidR="007526EB" w:rsidRDefault="007526EB" w:rsidP="00474983">
      <w:pPr>
        <w:ind w:firstLine="708"/>
      </w:pPr>
      <w:r>
        <w:t>Entrez le login d’administrateur pour accéder à l’interface</w:t>
      </w:r>
      <w:r w:rsidR="007B38A1">
        <w:t xml:space="preserve"> administrateur</w:t>
      </w:r>
      <w:r w:rsidR="00474983">
        <w:t>.</w:t>
      </w:r>
    </w:p>
    <w:p w:rsidR="008B6AC2" w:rsidRPr="008B6AC2" w:rsidRDefault="008B6AC2" w:rsidP="00474983">
      <w:pPr>
        <w:ind w:firstLine="708"/>
      </w:pPr>
      <w:r>
        <w:lastRenderedPageBreak/>
        <w:t xml:space="preserve">Les champs avec </w:t>
      </w:r>
      <w:r w:rsidRPr="008B6AC2">
        <w:rPr>
          <w:color w:val="FF0000"/>
        </w:rPr>
        <w:t>(*)</w:t>
      </w:r>
      <w:r>
        <w:rPr>
          <w:color w:val="FF0000"/>
        </w:rPr>
        <w:t xml:space="preserve"> </w:t>
      </w:r>
      <w:r w:rsidRPr="008B6AC2">
        <w:t>sont obligatoire.</w:t>
      </w:r>
    </w:p>
    <w:p w:rsidR="00474983" w:rsidRDefault="00474983" w:rsidP="00474983">
      <w:pPr>
        <w:ind w:firstLine="708"/>
        <w:rPr>
          <w:color w:val="FF0000"/>
        </w:rPr>
      </w:pPr>
      <w:r w:rsidRPr="00474983">
        <w:rPr>
          <w:color w:val="FF0000"/>
        </w:rPr>
        <w:t>Erreur</w:t>
      </w:r>
      <w:r>
        <w:rPr>
          <w:color w:val="FF0000"/>
        </w:rPr>
        <w:t> :</w:t>
      </w:r>
    </w:p>
    <w:p w:rsidR="00474983" w:rsidRDefault="00474983" w:rsidP="00474983">
      <w:pPr>
        <w:pStyle w:val="Paragraphedeliste"/>
        <w:numPr>
          <w:ilvl w:val="0"/>
          <w:numId w:val="3"/>
        </w:numPr>
      </w:pPr>
      <w:r>
        <w:t>« </w:t>
      </w:r>
      <w:r w:rsidRPr="00474983">
        <w:rPr>
          <w:color w:val="FF0000"/>
        </w:rPr>
        <w:t>Login invalide </w:t>
      </w:r>
      <w:r>
        <w:t>» : soit pas d’email enregistré dans la base de données, ou mot de passe incorrecte</w:t>
      </w:r>
    </w:p>
    <w:p w:rsidR="00474983" w:rsidRDefault="00474983" w:rsidP="00474983">
      <w:pPr>
        <w:pStyle w:val="Paragraphedeliste"/>
        <w:numPr>
          <w:ilvl w:val="0"/>
          <w:numId w:val="3"/>
        </w:numPr>
      </w:pPr>
      <w:r>
        <w:t>« </w:t>
      </w:r>
      <w:r w:rsidRPr="00474983">
        <w:rPr>
          <w:color w:val="FF0000"/>
        </w:rPr>
        <w:t>Erreur serveur </w:t>
      </w:r>
      <w:r>
        <w:t>» : erreur venant du backend ou de base de données</w:t>
      </w:r>
    </w:p>
    <w:p w:rsidR="00474983" w:rsidRDefault="00474983" w:rsidP="00474983">
      <w:pPr>
        <w:ind w:left="708"/>
      </w:pPr>
    </w:p>
    <w:p w:rsidR="00474983" w:rsidRDefault="001E4D41" w:rsidP="00474983">
      <w:pPr>
        <w:pStyle w:val="Titre2"/>
      </w:pPr>
      <w:r>
        <w:t>Liste des Appels d’offres</w:t>
      </w:r>
    </w:p>
    <w:p w:rsidR="001E4D41" w:rsidRDefault="001E4D41" w:rsidP="001E4D41"/>
    <w:p w:rsidR="008A2D35" w:rsidRPr="008A2D35" w:rsidRDefault="001E4D41" w:rsidP="001E4D41">
      <w:pPr>
        <w:rPr>
          <w:color w:val="0563C1" w:themeColor="hyperlink"/>
          <w:u w:val="single"/>
        </w:rPr>
      </w:pPr>
      <w:r>
        <w:t xml:space="preserve">Lien: </w:t>
      </w:r>
      <w:hyperlink r:id="rId7" w:history="1">
        <w:r w:rsidRPr="00BB3940">
          <w:rPr>
            <w:rStyle w:val="Lienhypertexte"/>
          </w:rPr>
          <w:t>http://02fidmg.org/ami/1</w:t>
        </w:r>
      </w:hyperlink>
    </w:p>
    <w:p w:rsidR="001E4D41" w:rsidRDefault="001E4D41" w:rsidP="001E4D41">
      <w:r>
        <w:t>Le 1 veut dire page 1. Si c’est /ami/2 signifie page 2.</w:t>
      </w:r>
      <w:r w:rsidR="00F7597F">
        <w:t xml:space="preserve"> La liste est d’ordre de date décroissante.</w:t>
      </w:r>
    </w:p>
    <w:p w:rsidR="00A41D77" w:rsidRDefault="00A41D77" w:rsidP="001E4D41"/>
    <w:p w:rsidR="00893F2D" w:rsidRDefault="008152BB" w:rsidP="001E4D41">
      <w:r>
        <w:rPr>
          <w:noProof/>
          <w:lang w:eastAsia="fr-FR"/>
        </w:rPr>
        <w:drawing>
          <wp:inline distT="0" distB="0" distL="0" distR="0">
            <wp:extent cx="5760720" cy="33394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e-am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41" w:rsidRDefault="001E4D41" w:rsidP="001E4D41"/>
    <w:p w:rsidR="00893F2D" w:rsidRPr="008A2D35" w:rsidRDefault="000C3020" w:rsidP="001E4D41">
      <w:pPr>
        <w:rPr>
          <w:color w:val="5B9BD5" w:themeColor="accent1"/>
          <w:sz w:val="28"/>
          <w:u w:val="single"/>
        </w:rPr>
      </w:pPr>
      <w:r w:rsidRPr="008A2D35">
        <w:rPr>
          <w:color w:val="5B9BD5" w:themeColor="accent1"/>
          <w:sz w:val="28"/>
          <w:u w:val="single"/>
        </w:rPr>
        <w:t>Bouton :</w:t>
      </w:r>
    </w:p>
    <w:p w:rsidR="000C3020" w:rsidRDefault="000C3020" w:rsidP="001E4D41">
      <w:r w:rsidRPr="000C3020">
        <w:rPr>
          <w:color w:val="5B9BD5" w:themeColor="accent1"/>
        </w:rPr>
        <w:t xml:space="preserve">Nouveau DAO : </w:t>
      </w:r>
      <w:r>
        <w:t>permet de déposer des dossiers sur un référence d’appel d’offre pas encore dans la base de donnée</w:t>
      </w:r>
    </w:p>
    <w:p w:rsidR="000C3020" w:rsidRDefault="000C3020" w:rsidP="001E4D41">
      <w:r w:rsidRPr="00A41D77">
        <w:rPr>
          <w:color w:val="5B9BD5" w:themeColor="accent1"/>
        </w:rPr>
        <w:t>Search</w:t>
      </w:r>
      <w:r>
        <w:t xml:space="preserve"> : recherche l’appel d’offre via son </w:t>
      </w:r>
      <w:r w:rsidR="00A41D77">
        <w:t>référence, il retourne tous les Appel d’offre si on cherche rien « »</w:t>
      </w:r>
    </w:p>
    <w:p w:rsidR="00A41D77" w:rsidRDefault="00A41D77" w:rsidP="00A41D77">
      <w:pPr>
        <w:tabs>
          <w:tab w:val="center" w:pos="4536"/>
        </w:tabs>
      </w:pPr>
      <w:r w:rsidRPr="00A41D77">
        <w:rPr>
          <w:color w:val="5B9BD5" w:themeColor="accent1"/>
        </w:rPr>
        <w:t>Précédant et Suivant</w:t>
      </w:r>
      <w:r>
        <w:rPr>
          <w:color w:val="5B9BD5" w:themeColor="accent1"/>
        </w:rPr>
        <w:t xml:space="preserve"> : </w:t>
      </w:r>
      <w:r w:rsidR="008A2D35">
        <w:t>naviguer sur la page précédente et suivante du liste des Appels d’offre</w:t>
      </w:r>
    </w:p>
    <w:p w:rsidR="008A2D35" w:rsidRDefault="008A2D35" w:rsidP="00A41D77">
      <w:pPr>
        <w:tabs>
          <w:tab w:val="center" w:pos="4536"/>
        </w:tabs>
      </w:pPr>
      <w:r w:rsidRPr="008A2D35">
        <w:rPr>
          <w:color w:val="5B9BD5" w:themeColor="accent1"/>
        </w:rPr>
        <w:t>DAO :</w:t>
      </w:r>
      <w:r>
        <w:t xml:space="preserve"> modifier la description et les dossiers pour la référence correspondante.</w:t>
      </w:r>
    </w:p>
    <w:p w:rsidR="008A2D35" w:rsidRDefault="008A2D35" w:rsidP="00A41D77">
      <w:pPr>
        <w:tabs>
          <w:tab w:val="center" w:pos="4536"/>
        </w:tabs>
      </w:pPr>
      <w:r w:rsidRPr="008A2D35">
        <w:rPr>
          <w:color w:val="5B9BD5" w:themeColor="accent1"/>
        </w:rPr>
        <w:t>Email :</w:t>
      </w:r>
      <w:r>
        <w:t xml:space="preserve"> gérer les personnes à notifier par email lors des téléchargements des offreurs pour la référence correspondante.</w:t>
      </w:r>
    </w:p>
    <w:p w:rsidR="008A2D35" w:rsidRDefault="008A2D35" w:rsidP="00A41D77">
      <w:pPr>
        <w:tabs>
          <w:tab w:val="center" w:pos="4536"/>
        </w:tabs>
      </w:pPr>
      <w:r w:rsidRPr="008A2D35">
        <w:rPr>
          <w:color w:val="5B9BD5" w:themeColor="accent1"/>
        </w:rPr>
        <w:lastRenderedPageBreak/>
        <w:t>Supprimer :</w:t>
      </w:r>
      <w:r>
        <w:t xml:space="preserve"> supprimer tous les dossiers, les personnes à notifier et la référence d’appel d’offre correspondante pour cette application.</w:t>
      </w:r>
    </w:p>
    <w:p w:rsidR="008A2D35" w:rsidRDefault="00CE78B6" w:rsidP="00CE78B6">
      <w:pPr>
        <w:pStyle w:val="Titre2"/>
      </w:pPr>
      <w:r>
        <w:t>Navigation</w:t>
      </w:r>
    </w:p>
    <w:p w:rsidR="00326A18" w:rsidRDefault="008152BB" w:rsidP="00326A18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81DF5C0" wp14:editId="006986F8">
            <wp:simplePos x="0" y="0"/>
            <wp:positionH relativeFrom="column">
              <wp:posOffset>1433830</wp:posOffset>
            </wp:positionH>
            <wp:positionV relativeFrom="paragraph">
              <wp:posOffset>282575</wp:posOffset>
            </wp:positionV>
            <wp:extent cx="298132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531" y="20983"/>
                <wp:lineTo x="21531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vig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A18" w:rsidRPr="00326A18" w:rsidRDefault="00326A18" w:rsidP="00326A18"/>
    <w:p w:rsidR="00B2153B" w:rsidRDefault="00B2153B" w:rsidP="00CE78B6"/>
    <w:p w:rsidR="008152BB" w:rsidRDefault="008152BB" w:rsidP="00CE78B6"/>
    <w:p w:rsidR="008152BB" w:rsidRDefault="008152BB" w:rsidP="00CE78B6"/>
    <w:p w:rsidR="00B2153B" w:rsidRDefault="00B2153B" w:rsidP="00CE78B6">
      <w:r>
        <w:t>Pour chaque admin authentifié :</w:t>
      </w:r>
    </w:p>
    <w:p w:rsidR="00B2153B" w:rsidRDefault="00B2153B" w:rsidP="00CE78B6">
      <w:r>
        <w:t>L’accueil : retourne à la liste des appels d’offres</w:t>
      </w:r>
    </w:p>
    <w:p w:rsidR="00B2153B" w:rsidRDefault="00B2153B" w:rsidP="00CE78B6">
      <w:r>
        <w:t>Statistiques : montre le nombre de téléchargement dans un période donné.</w:t>
      </w:r>
    </w:p>
    <w:p w:rsidR="00B2153B" w:rsidRDefault="00B2153B" w:rsidP="00CE78B6">
      <w:r>
        <w:t>Déconnexion : pour déconnecter</w:t>
      </w:r>
    </w:p>
    <w:p w:rsidR="00B2153B" w:rsidRDefault="00B2153B" w:rsidP="00CE78B6"/>
    <w:p w:rsidR="00B2153B" w:rsidRDefault="00786D4A" w:rsidP="00B2153B">
      <w:pPr>
        <w:pStyle w:val="Titre2"/>
      </w:pPr>
      <w:r>
        <w:t>Nouveau DAO</w:t>
      </w:r>
    </w:p>
    <w:p w:rsidR="00786D4A" w:rsidRPr="00786D4A" w:rsidRDefault="00786D4A" w:rsidP="00786D4A"/>
    <w:p w:rsidR="00786D4A" w:rsidRDefault="00786D4A" w:rsidP="00786D4A">
      <w:r>
        <w:t xml:space="preserve">Lien: </w:t>
      </w:r>
      <w:hyperlink r:id="rId10" w:history="1">
        <w:r w:rsidR="00737902" w:rsidRPr="0065545D">
          <w:rPr>
            <w:rStyle w:val="Lienhypertexte"/>
          </w:rPr>
          <w:t>http://02fidmg.org/ajout</w:t>
        </w:r>
      </w:hyperlink>
    </w:p>
    <w:p w:rsidR="00E96D99" w:rsidRDefault="00E96D99" w:rsidP="00786D4A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 wp14:anchorId="54B12520" wp14:editId="2AEA2D3E">
            <wp:extent cx="5760720" cy="48348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jout_dossi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DE" w:rsidRDefault="00CD26DE" w:rsidP="00786D4A"/>
    <w:p w:rsidR="0034373A" w:rsidRDefault="00786D4A" w:rsidP="00786D4A">
      <w:r>
        <w:t xml:space="preserve">Lorsqu’on clique sur nouveau DAO dans la </w:t>
      </w:r>
      <w:r w:rsidRPr="0034373A">
        <w:rPr>
          <w:u w:val="single"/>
        </w:rPr>
        <w:t>page de la liste</w:t>
      </w:r>
      <w:r>
        <w:t xml:space="preserve"> des Appels d’offres, il redirige vers l’ajout des DAO pour une référence pas encore dans la base de donnée.</w:t>
      </w:r>
    </w:p>
    <w:p w:rsidR="0034373A" w:rsidRDefault="0034373A" w:rsidP="00786D4A">
      <w:r>
        <w:t xml:space="preserve">Les champs Description et Dossier DAO ne sont pas obligatoire, mais la description est limitée à 2000 caractères. </w:t>
      </w:r>
    </w:p>
    <w:p w:rsidR="0034373A" w:rsidRDefault="0034373A" w:rsidP="00786D4A">
      <w:r>
        <w:t>Pour la gestion de fichier, on peut ajouter des fichiers à l’intermédiaire du bouton « Ajouter une autre fichier » et supprimer chaque fichier avec le bouton « X » à côté. Chaque fichier est limité à 3MB au maximum et doit être inclus dans la liste suivante : .jpeg, .png, .pdf, .docs, .doc, .xlxs.</w:t>
      </w:r>
    </w:p>
    <w:p w:rsidR="0034373A" w:rsidRDefault="0034373A" w:rsidP="00786D4A">
      <w:pPr>
        <w:rPr>
          <w:rStyle w:val="Lienhypertexte"/>
        </w:rPr>
      </w:pPr>
      <w:r>
        <w:t xml:space="preserve">La soumission enregistre les DAO et la réf. Appel </w:t>
      </w:r>
      <w:r w:rsidR="00737902">
        <w:t>d’offre,</w:t>
      </w:r>
      <w:r>
        <w:t xml:space="preserve"> et </w:t>
      </w:r>
      <w:r w:rsidR="00D3740D">
        <w:t xml:space="preserve">redirige </w:t>
      </w:r>
      <w:r>
        <w:t xml:space="preserve">vers le lien </w:t>
      </w:r>
      <w:hyperlink r:id="rId12" w:history="1">
        <w:r w:rsidR="005A6F7B" w:rsidRPr="0065545D">
          <w:rPr>
            <w:rStyle w:val="Lienhypertexte"/>
          </w:rPr>
          <w:t>http://02fidmg.org/documents/[ref_ami</w:t>
        </w:r>
      </w:hyperlink>
      <w:r w:rsidR="00737902">
        <w:rPr>
          <w:rStyle w:val="Lienhypertexte"/>
        </w:rPr>
        <w:t>]</w:t>
      </w:r>
    </w:p>
    <w:p w:rsidR="00D3740D" w:rsidRPr="00D3740D" w:rsidRDefault="00D3740D" w:rsidP="00786D4A">
      <w:r>
        <w:t>Erreur « </w:t>
      </w:r>
      <w:r w:rsidRPr="00D3740D">
        <w:rPr>
          <w:color w:val="FF0000"/>
        </w:rPr>
        <w:t>Ref. Appel d’Offre existant »</w:t>
      </w:r>
      <w:r>
        <w:rPr>
          <w:color w:val="FF0000"/>
        </w:rPr>
        <w:t xml:space="preserve"> </w:t>
      </w:r>
    </w:p>
    <w:p w:rsidR="0034373A" w:rsidRDefault="0034373A" w:rsidP="00786D4A"/>
    <w:p w:rsidR="00E96D99" w:rsidRDefault="00E96D99" w:rsidP="00786D4A"/>
    <w:p w:rsidR="002C54AF" w:rsidRPr="002C54AF" w:rsidRDefault="002C54AF" w:rsidP="002C54AF">
      <w:pPr>
        <w:pStyle w:val="Titre2"/>
      </w:pPr>
      <w:r>
        <w:t>Modification DAO d’un Appel d’Offre</w:t>
      </w:r>
    </w:p>
    <w:p w:rsidR="00786D4A" w:rsidRDefault="00786D4A" w:rsidP="00786D4A"/>
    <w:p w:rsidR="00786D4A" w:rsidRPr="00786D4A" w:rsidRDefault="00786D4A" w:rsidP="00786D4A"/>
    <w:p w:rsidR="002C54AF" w:rsidRDefault="002C54AF" w:rsidP="002C54AF">
      <w:r>
        <w:lastRenderedPageBreak/>
        <w:t xml:space="preserve">Lien: </w:t>
      </w:r>
      <w:r w:rsidRPr="002C54AF">
        <w:rPr>
          <w:color w:val="5B9BD5" w:themeColor="accent1"/>
        </w:rPr>
        <w:t>http://02fidmg.org/modification_dao/[ref_ami]</w:t>
      </w:r>
    </w:p>
    <w:p w:rsidR="002C54AF" w:rsidRDefault="002C54AF" w:rsidP="002C54AF"/>
    <w:p w:rsidR="00B2153B" w:rsidRDefault="002C54AF" w:rsidP="00CE78B6">
      <w:r>
        <w:t>Dans la liste des Appels d’offres, cliquer sur le DAO dans une ref_ami correspondante redirige dans la page de modification des DAO et son description. Egalement, quand on soumet dans la page Nouveau DAO, il redirige également là-bas.</w:t>
      </w:r>
    </w:p>
    <w:p w:rsidR="002C54AF" w:rsidRDefault="002C54AF" w:rsidP="00CE78B6">
      <w:r>
        <w:rPr>
          <w:noProof/>
          <w:lang w:eastAsia="fr-FR"/>
        </w:rPr>
        <w:drawing>
          <wp:inline distT="0" distB="0" distL="0" distR="0">
            <wp:extent cx="5760720" cy="46920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tion_d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AF" w:rsidRDefault="002C54AF" w:rsidP="00CE78B6"/>
    <w:p w:rsidR="002C54AF" w:rsidRDefault="002C54AF" w:rsidP="00CE78B6">
      <w:r>
        <w:t>On a le même formulaire que le nouveau DAO, mais au lieu d’ajouter, ça sert à mettre à jour la description et ajouter de nouveau DAO.</w:t>
      </w:r>
    </w:p>
    <w:p w:rsidR="002C54AF" w:rsidRDefault="002C54AF" w:rsidP="00CE78B6">
      <w:r>
        <w:t>Tout au fond d’en bas, la liste des DAO pour l’appel d’offre correspondant s’affiche et on peut le télécharger et le supprimer.</w:t>
      </w:r>
    </w:p>
    <w:p w:rsidR="002C54AF" w:rsidRDefault="002C54AF" w:rsidP="00CE78B6"/>
    <w:p w:rsidR="002C54AF" w:rsidRDefault="002C54AF" w:rsidP="00CE78B6">
      <w:r>
        <w:t xml:space="preserve">Juste au-dessus de formulaire, on peut copier le lien pour lesquels les offreurs peuvent compléter </w:t>
      </w:r>
      <w:r w:rsidR="00F7597F">
        <w:t>un</w:t>
      </w:r>
      <w:r>
        <w:t xml:space="preserve"> formulaire pour télécharger ces documents.</w:t>
      </w:r>
    </w:p>
    <w:p w:rsidR="002C54AF" w:rsidRDefault="002C54AF" w:rsidP="00CE78B6"/>
    <w:p w:rsidR="002C54AF" w:rsidRDefault="002C54AF" w:rsidP="00CE78B6">
      <w:r>
        <w:rPr>
          <w:noProof/>
          <w:lang w:eastAsia="fr-FR"/>
        </w:rPr>
        <w:lastRenderedPageBreak/>
        <w:drawing>
          <wp:inline distT="0" distB="0" distL="0" distR="0">
            <wp:extent cx="4810796" cy="109552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pie_li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AF" w:rsidRDefault="002C54AF" w:rsidP="00CE78B6"/>
    <w:p w:rsidR="002C54AF" w:rsidRDefault="00F7597F" w:rsidP="002C54AF">
      <w:pPr>
        <w:pStyle w:val="Titre2"/>
      </w:pPr>
      <w:r>
        <w:t>Liste des superviseurs pour un Appel d’Offre</w:t>
      </w:r>
    </w:p>
    <w:p w:rsidR="00F7597F" w:rsidRDefault="00F7597F" w:rsidP="00F7597F"/>
    <w:p w:rsidR="00F7597F" w:rsidRDefault="00F7597F" w:rsidP="00F7597F">
      <w:r>
        <w:t>Le bouton « Email » de chaque réf. appel d’offre de la page de la liste d’ami redirige dans la liste des personnes à notifier lors d’un téléchargement de cet appel d’offre d’un offreur.</w:t>
      </w:r>
    </w:p>
    <w:p w:rsidR="00F7597F" w:rsidRDefault="00F7597F" w:rsidP="00F7597F"/>
    <w:p w:rsidR="00B952D4" w:rsidRDefault="00B952D4" w:rsidP="00B952D4">
      <w:r>
        <w:t xml:space="preserve">Lien: </w:t>
      </w:r>
      <w:r w:rsidRPr="002C54AF">
        <w:rPr>
          <w:color w:val="5B9BD5" w:themeColor="accent1"/>
        </w:rPr>
        <w:t>http://02fidmg.org/</w:t>
      </w:r>
      <w:r w:rsidRPr="00B952D4">
        <w:t xml:space="preserve"> </w:t>
      </w:r>
      <w:r w:rsidRPr="00B952D4">
        <w:rPr>
          <w:color w:val="5B9BD5" w:themeColor="accent1"/>
        </w:rPr>
        <w:t>superviseur</w:t>
      </w:r>
      <w:r w:rsidRPr="002C54AF">
        <w:rPr>
          <w:color w:val="5B9BD5" w:themeColor="accent1"/>
        </w:rPr>
        <w:t>/[ref_ami]</w:t>
      </w:r>
    </w:p>
    <w:p w:rsidR="00B952D4" w:rsidRDefault="00B952D4" w:rsidP="00F7597F"/>
    <w:p w:rsidR="00A80657" w:rsidRDefault="00A80657" w:rsidP="00F7597F">
      <w:r>
        <w:rPr>
          <w:noProof/>
          <w:lang w:eastAsia="fr-FR"/>
        </w:rPr>
        <w:drawing>
          <wp:inline distT="0" distB="0" distL="0" distR="0">
            <wp:extent cx="5760720" cy="40278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ail_supervis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57" w:rsidRDefault="00A80657" w:rsidP="00F7597F"/>
    <w:p w:rsidR="00A80657" w:rsidRDefault="00E80A70" w:rsidP="00E80A70">
      <w:pPr>
        <w:pStyle w:val="Titre2"/>
      </w:pPr>
      <w:r>
        <w:t>Statistiques</w:t>
      </w:r>
    </w:p>
    <w:p w:rsidR="00E80A70" w:rsidRDefault="00E80A70" w:rsidP="00E80A70"/>
    <w:p w:rsidR="00E80A70" w:rsidRDefault="00E80A70" w:rsidP="00E80A70">
      <w:pPr>
        <w:rPr>
          <w:color w:val="5B9BD5" w:themeColor="accent1"/>
        </w:rPr>
      </w:pPr>
      <w:r>
        <w:t xml:space="preserve">Lien : </w:t>
      </w:r>
      <w:r w:rsidRPr="002C54AF">
        <w:rPr>
          <w:color w:val="5B9BD5" w:themeColor="accent1"/>
        </w:rPr>
        <w:t>http://02fidmg.org/</w:t>
      </w:r>
      <w:r w:rsidRPr="00B952D4">
        <w:t xml:space="preserve"> </w:t>
      </w:r>
      <w:r>
        <w:rPr>
          <w:color w:val="5B9BD5" w:themeColor="accent1"/>
        </w:rPr>
        <w:t>statistiques /</w:t>
      </w:r>
    </w:p>
    <w:p w:rsidR="00E80A70" w:rsidRDefault="00E80A70" w:rsidP="00E80A70">
      <w:pPr>
        <w:rPr>
          <w:color w:val="5B9BD5" w:themeColor="accent1"/>
        </w:rPr>
      </w:pPr>
    </w:p>
    <w:p w:rsidR="00E80A70" w:rsidRDefault="00E80A70" w:rsidP="00E80A70">
      <w:pPr>
        <w:pStyle w:val="Titre1"/>
      </w:pPr>
      <w:r>
        <w:lastRenderedPageBreak/>
        <w:t>Interface visiteur</w:t>
      </w:r>
    </w:p>
    <w:p w:rsidR="00E80A70" w:rsidRDefault="00E80A70" w:rsidP="00E80A70"/>
    <w:p w:rsidR="00BD07AD" w:rsidRDefault="00BD07AD" w:rsidP="00E80A70"/>
    <w:p w:rsidR="00E80A70" w:rsidRPr="00E80A70" w:rsidRDefault="00E80A70" w:rsidP="00E80A70"/>
    <w:p w:rsidR="00E80A70" w:rsidRPr="00E80A70" w:rsidRDefault="00E80A70" w:rsidP="00E80A70"/>
    <w:sectPr w:rsidR="00E80A70" w:rsidRPr="00E80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6081"/>
    <w:multiLevelType w:val="hybridMultilevel"/>
    <w:tmpl w:val="F34EC02A"/>
    <w:lvl w:ilvl="0" w:tplc="E61EA60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9D527F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>
    <w:nsid w:val="69B47E7C"/>
    <w:multiLevelType w:val="hybridMultilevel"/>
    <w:tmpl w:val="D2AC95D4"/>
    <w:lvl w:ilvl="0" w:tplc="E61EA60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50"/>
    <w:rsid w:val="00057550"/>
    <w:rsid w:val="000C3020"/>
    <w:rsid w:val="000F0E07"/>
    <w:rsid w:val="001E4D41"/>
    <w:rsid w:val="002C54AF"/>
    <w:rsid w:val="00326A18"/>
    <w:rsid w:val="0034373A"/>
    <w:rsid w:val="00474983"/>
    <w:rsid w:val="004C73E5"/>
    <w:rsid w:val="005A6F7B"/>
    <w:rsid w:val="005D1CCE"/>
    <w:rsid w:val="005D4DF2"/>
    <w:rsid w:val="0062725D"/>
    <w:rsid w:val="006C04B5"/>
    <w:rsid w:val="0071080B"/>
    <w:rsid w:val="00737902"/>
    <w:rsid w:val="007526EB"/>
    <w:rsid w:val="00786D4A"/>
    <w:rsid w:val="007938F0"/>
    <w:rsid w:val="007B38A1"/>
    <w:rsid w:val="007E33DB"/>
    <w:rsid w:val="008152BB"/>
    <w:rsid w:val="00893F2D"/>
    <w:rsid w:val="008A2D35"/>
    <w:rsid w:val="008B6AC2"/>
    <w:rsid w:val="008E6BFB"/>
    <w:rsid w:val="009448E1"/>
    <w:rsid w:val="00966B74"/>
    <w:rsid w:val="009933C4"/>
    <w:rsid w:val="009E3C2B"/>
    <w:rsid w:val="00A41D77"/>
    <w:rsid w:val="00A80657"/>
    <w:rsid w:val="00AE7F00"/>
    <w:rsid w:val="00B2153B"/>
    <w:rsid w:val="00B952D4"/>
    <w:rsid w:val="00BD07AD"/>
    <w:rsid w:val="00CD26DE"/>
    <w:rsid w:val="00CE78B6"/>
    <w:rsid w:val="00D22477"/>
    <w:rsid w:val="00D3740D"/>
    <w:rsid w:val="00E80A70"/>
    <w:rsid w:val="00E96D99"/>
    <w:rsid w:val="00F3602B"/>
    <w:rsid w:val="00F7597F"/>
    <w:rsid w:val="00F966B3"/>
    <w:rsid w:val="00FB221D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DB057-6200-4DED-9E93-44AD7E0F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55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755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75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75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75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75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75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75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75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7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575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575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75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75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575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575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575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526E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74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02fidmg.org/ami/1" TargetMode="External"/><Relationship Id="rId12" Type="http://schemas.openxmlformats.org/officeDocument/2006/relationships/hyperlink" Target="http://02fidmg.org/documents/%5bref_am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02fidmg.org/adm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02fidmg.org/aj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Assistant-info-user</dc:creator>
  <cp:keywords/>
  <dc:description/>
  <cp:lastModifiedBy>Assistant-info-user</cp:lastModifiedBy>
  <cp:revision>2</cp:revision>
  <dcterms:created xsi:type="dcterms:W3CDTF">2024-06-06T12:28:00Z</dcterms:created>
  <dcterms:modified xsi:type="dcterms:W3CDTF">2024-06-13T11:35:00Z</dcterms:modified>
</cp:coreProperties>
</file>