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left"/>
      </w:pPr>
      <w:r>
        <w:t xml:space="preserve">This section summarises throughput, incident load and the remediation backlog for the period under review.</w:t>
      </w:r>
    </w:p>
    <w:p>
      <w:pPr>
        <w:jc w:val="left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left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left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left"/>
      </w:pPr>
      <w:r>
        <w:t xml:space="preserve">Supplementary note 1: capacity held within the agreed envelope.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left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left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left"/>
      </w:pPr>
      <w:r>
        <w:t xml:space="preserve">Two suppliers missed their service commitments.</w:t>
      </w:r>
    </w:p>
    <w:p>
      <w:pPr>
        <w:jc w:val="left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left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left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12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19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flat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East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7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up</w:t>
            </w:r>
          </w:p>
        </w:tc>
      </w:tr>
    </w:tbl>
    <w:p>
      <w:pPr>
        <w:jc w:val="left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  <w:jc w:val="left"/>
      </w:pPr>
      <w:r>
        <w:t xml:space="preserve">The remainder of the review is unchanged from the last cycle.</w:t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[[CYCLE]]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[[CYCLE]]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