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both"/>
      </w:pPr>
      <w:r>
        <w:t xml:space="preserve">This section summarises throughput, incident load and the remediation backlog for the period under review.</w:t>
      </w:r>
    </w:p>
    <w:p>
      <w:pPr>
        <w:jc w:val="both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both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both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both"/>
      </w:pPr>
      <w:r>
        <w:t xml:space="preserve">Supplementary note 1: capacity held within the agreed envelope.</w:t>
      </w:r>
    </w:p>
    <w:p>
      <w:pPr>
        <w:jc w:val="both"/>
      </w:pPr>
      <w:r>
        <w:t xml:space="preserve">Supplementary note 2: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both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both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both"/>
      </w:pPr>
      <w:r>
        <w:t xml:space="preserve">Two suppliers missed their service commitments.</w:t>
      </w:r>
    </w:p>
    <w:p>
      <w:pPr>
        <w:jc w:val="both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both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both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14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17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flat</w:t>
            </w:r>
          </w:p>
        </w:tc>
      </w:tr>
    </w:tbl>
    <w:p>
      <w:pPr>
        <w:jc w:val="both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both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Q1 2026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Q1 2026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7A2E2E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