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2438402"/>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332EDB7F" w14:textId="77777777" w:rsidR="00C93790"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93790">
            <w:rPr>
              <w:noProof/>
            </w:rPr>
            <w:t>The title</w:t>
          </w:r>
          <w:r w:rsidR="00C93790">
            <w:rPr>
              <w:noProof/>
            </w:rPr>
            <w:tab/>
          </w:r>
          <w:r w:rsidR="00C93790">
            <w:rPr>
              <w:noProof/>
            </w:rPr>
            <w:fldChar w:fldCharType="begin"/>
          </w:r>
          <w:r w:rsidR="00C93790">
            <w:rPr>
              <w:noProof/>
            </w:rPr>
            <w:instrText xml:space="preserve"> PAGEREF _Toc242438402 \h </w:instrText>
          </w:r>
          <w:r w:rsidR="00C93790">
            <w:rPr>
              <w:noProof/>
            </w:rPr>
          </w:r>
          <w:r w:rsidR="00C93790">
            <w:rPr>
              <w:noProof/>
            </w:rPr>
            <w:fldChar w:fldCharType="separate"/>
          </w:r>
          <w:r w:rsidR="00BB48ED">
            <w:rPr>
              <w:noProof/>
            </w:rPr>
            <w:t>1</w:t>
          </w:r>
          <w:r w:rsidR="00C93790">
            <w:rPr>
              <w:noProof/>
            </w:rPr>
            <w:fldChar w:fldCharType="end"/>
          </w:r>
        </w:p>
        <w:p w14:paraId="27A76A02" w14:textId="77777777" w:rsidR="00C93790" w:rsidRDefault="00C93790">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_Toc242438403 \h </w:instrText>
          </w:r>
          <w:r>
            <w:rPr>
              <w:noProof/>
            </w:rPr>
          </w:r>
          <w:r>
            <w:rPr>
              <w:noProof/>
            </w:rPr>
            <w:fldChar w:fldCharType="separate"/>
          </w:r>
          <w:r w:rsidR="00BB48ED">
            <w:rPr>
              <w:noProof/>
            </w:rPr>
            <w:t>1</w:t>
          </w:r>
          <w:r>
            <w:rPr>
              <w:noProof/>
            </w:rPr>
            <w:fldChar w:fldCharType="end"/>
          </w:r>
        </w:p>
        <w:p w14:paraId="5C9AA485" w14:textId="77777777" w:rsidR="00C93790" w:rsidRDefault="00C93790">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_Toc242438404 \h </w:instrText>
          </w:r>
          <w:r>
            <w:rPr>
              <w:noProof/>
            </w:rPr>
          </w:r>
          <w:r>
            <w:rPr>
              <w:noProof/>
            </w:rPr>
            <w:fldChar w:fldCharType="separate"/>
          </w:r>
          <w:r w:rsidR="00BB48ED">
            <w:rPr>
              <w:noProof/>
            </w:rPr>
            <w:t>1</w:t>
          </w:r>
          <w:r>
            <w:rPr>
              <w:noProof/>
            </w:rPr>
            <w:fldChar w:fldCharType="end"/>
          </w:r>
        </w:p>
        <w:p w14:paraId="33A65B55" w14:textId="77777777" w:rsidR="00C93790" w:rsidRDefault="00C93790">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_Toc242438405 \h </w:instrText>
          </w:r>
          <w:r>
            <w:rPr>
              <w:noProof/>
            </w:rPr>
          </w:r>
          <w:r>
            <w:rPr>
              <w:noProof/>
            </w:rPr>
            <w:fldChar w:fldCharType="separate"/>
          </w:r>
          <w:r w:rsidR="00BB48ED">
            <w:rPr>
              <w:noProof/>
            </w:rPr>
            <w:t>2</w:t>
          </w:r>
          <w:r>
            <w:rPr>
              <w:noProof/>
            </w:rPr>
            <w:fldChar w:fldCharType="end"/>
          </w:r>
        </w:p>
        <w:p w14:paraId="100A9DA1" w14:textId="77777777" w:rsidR="00C93790" w:rsidRDefault="00C93790">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_Toc242438406 \h </w:instrText>
          </w:r>
          <w:r>
            <w:rPr>
              <w:noProof/>
            </w:rPr>
          </w:r>
          <w:r>
            <w:rPr>
              <w:noProof/>
            </w:rPr>
            <w:fldChar w:fldCharType="separate"/>
          </w:r>
          <w:r w:rsidR="00BB48ED">
            <w:rPr>
              <w:noProof/>
            </w:rPr>
            <w:t>2</w:t>
          </w:r>
          <w:r>
            <w:rPr>
              <w:noProof/>
            </w:rPr>
            <w:fldChar w:fldCharType="end"/>
          </w:r>
        </w:p>
        <w:p w14:paraId="024DE37D" w14:textId="77777777" w:rsidR="00C93790" w:rsidRDefault="00C93790">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_Toc242438407 \h </w:instrText>
          </w:r>
          <w:r>
            <w:rPr>
              <w:noProof/>
            </w:rPr>
          </w:r>
          <w:r>
            <w:rPr>
              <w:noProof/>
            </w:rPr>
            <w:fldChar w:fldCharType="separate"/>
          </w:r>
          <w:r w:rsidR="00BB48ED">
            <w:rPr>
              <w:noProof/>
            </w:rPr>
            <w:t>3</w:t>
          </w:r>
          <w:r>
            <w:rPr>
              <w:noProof/>
            </w:rPr>
            <w:fldChar w:fldCharType="end"/>
          </w:r>
        </w:p>
        <w:p w14:paraId="011CD628" w14:textId="77777777" w:rsidR="00C93790" w:rsidRDefault="00C93790">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_Toc242438408 \h </w:instrText>
          </w:r>
          <w:r>
            <w:rPr>
              <w:noProof/>
            </w:rPr>
          </w:r>
          <w:r>
            <w:rPr>
              <w:noProof/>
            </w:rPr>
            <w:fldChar w:fldCharType="separate"/>
          </w:r>
          <w:r w:rsidR="00BB48ED">
            <w:rPr>
              <w:noProof/>
            </w:rPr>
            <w:t>3</w:t>
          </w:r>
          <w:r>
            <w:rPr>
              <w:noProof/>
            </w:rPr>
            <w:fldChar w:fldCharType="end"/>
          </w:r>
        </w:p>
        <w:p w14:paraId="4A50624C" w14:textId="77777777" w:rsidR="00C93790" w:rsidRDefault="00C93790">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_Toc242438409 \h </w:instrText>
          </w:r>
          <w:r>
            <w:rPr>
              <w:noProof/>
            </w:rPr>
          </w:r>
          <w:r>
            <w:rPr>
              <w:noProof/>
            </w:rPr>
            <w:fldChar w:fldCharType="separate"/>
          </w:r>
          <w:r w:rsidR="00BB48ED">
            <w:rPr>
              <w:noProof/>
            </w:rPr>
            <w:t>5</w:t>
          </w:r>
          <w:r>
            <w:rPr>
              <w:noProof/>
            </w:rPr>
            <w:fldChar w:fldCharType="end"/>
          </w:r>
        </w:p>
        <w:p w14:paraId="08D7DD11" w14:textId="77777777" w:rsidR="00C93790" w:rsidRDefault="00C93790">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_Toc242438410 \h </w:instrText>
          </w:r>
          <w:r>
            <w:rPr>
              <w:noProof/>
            </w:rPr>
          </w:r>
          <w:r>
            <w:rPr>
              <w:noProof/>
            </w:rPr>
            <w:fldChar w:fldCharType="separate"/>
          </w:r>
          <w:r w:rsidR="00BB48ED">
            <w:rPr>
              <w:noProof/>
            </w:rPr>
            <w:t>5</w:t>
          </w:r>
          <w:r>
            <w:rPr>
              <w:noProof/>
            </w:rPr>
            <w:fldChar w:fldCharType="end"/>
          </w:r>
        </w:p>
        <w:p w14:paraId="5C488547" w14:textId="77777777" w:rsidR="00C93790" w:rsidRDefault="00C93790">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_Toc242438411 \h </w:instrText>
          </w:r>
          <w:r>
            <w:rPr>
              <w:noProof/>
            </w:rPr>
          </w:r>
          <w:r>
            <w:rPr>
              <w:noProof/>
            </w:rPr>
            <w:fldChar w:fldCharType="separate"/>
          </w:r>
          <w:r w:rsidR="00BB48ED">
            <w:rPr>
              <w:noProof/>
            </w:rPr>
            <w:t>6</w:t>
          </w:r>
          <w:r>
            <w:rPr>
              <w:noProof/>
            </w:rPr>
            <w:fldChar w:fldCharType="end"/>
          </w:r>
        </w:p>
        <w:p w14:paraId="652DE628" w14:textId="77777777" w:rsidR="00C93790" w:rsidRDefault="00C93790">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_Toc242438412 \h </w:instrText>
          </w:r>
          <w:r>
            <w:rPr>
              <w:noProof/>
            </w:rPr>
          </w:r>
          <w:r>
            <w:rPr>
              <w:noProof/>
            </w:rPr>
            <w:fldChar w:fldCharType="separate"/>
          </w:r>
          <w:r w:rsidR="00BB48ED">
            <w:rPr>
              <w:noProof/>
            </w:rPr>
            <w:t>7</w:t>
          </w:r>
          <w:r>
            <w:rPr>
              <w:noProof/>
            </w:rPr>
            <w:fldChar w:fldCharType="end"/>
          </w:r>
        </w:p>
        <w:p w14:paraId="2CE385EB" w14:textId="77777777" w:rsidR="00C93790" w:rsidRDefault="00C93790">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_Toc242438413 \h </w:instrText>
          </w:r>
          <w:r>
            <w:rPr>
              <w:noProof/>
            </w:rPr>
          </w:r>
          <w:r>
            <w:rPr>
              <w:noProof/>
            </w:rPr>
            <w:fldChar w:fldCharType="separate"/>
          </w:r>
          <w:r w:rsidR="00BB48ED">
            <w:rPr>
              <w:noProof/>
            </w:rPr>
            <w:t>8</w:t>
          </w:r>
          <w:r>
            <w:rPr>
              <w:noProof/>
            </w:rPr>
            <w:fldChar w:fldCharType="end"/>
          </w:r>
        </w:p>
        <w:p w14:paraId="2F9545BD" w14:textId="77777777" w:rsidR="00C93790" w:rsidRDefault="00C93790">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_Toc242438414 \h </w:instrText>
          </w:r>
          <w:r>
            <w:rPr>
              <w:noProof/>
            </w:rPr>
          </w:r>
          <w:r>
            <w:rPr>
              <w:noProof/>
            </w:rPr>
            <w:fldChar w:fldCharType="separate"/>
          </w:r>
          <w:r w:rsidR="00BB48ED">
            <w:rPr>
              <w:noProof/>
            </w:rPr>
            <w:t>8</w:t>
          </w:r>
          <w:r>
            <w:rPr>
              <w:noProof/>
            </w:rPr>
            <w:fldChar w:fldCharType="end"/>
          </w:r>
        </w:p>
        <w:p w14:paraId="0CA13470" w14:textId="77777777" w:rsidR="00C93790" w:rsidRDefault="00C93790">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_Toc242438415 \h </w:instrText>
          </w:r>
          <w:r>
            <w:rPr>
              <w:noProof/>
            </w:rPr>
          </w:r>
          <w:r>
            <w:rPr>
              <w:noProof/>
            </w:rPr>
            <w:fldChar w:fldCharType="separate"/>
          </w:r>
          <w:r w:rsidR="00BB48ED">
            <w:rPr>
              <w:noProof/>
            </w:rPr>
            <w:t>9</w:t>
          </w:r>
          <w:r>
            <w:rPr>
              <w:noProof/>
            </w:rPr>
            <w:fldChar w:fldCharType="end"/>
          </w:r>
        </w:p>
        <w:p w14:paraId="1F6558D3" w14:textId="77777777" w:rsidR="00C93790" w:rsidRDefault="00C93790">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_Toc242438416 \h </w:instrText>
          </w:r>
          <w:r>
            <w:rPr>
              <w:noProof/>
            </w:rPr>
          </w:r>
          <w:r>
            <w:rPr>
              <w:noProof/>
            </w:rPr>
            <w:fldChar w:fldCharType="separate"/>
          </w:r>
          <w:r w:rsidR="00BB48ED">
            <w:rPr>
              <w:noProof/>
            </w:rPr>
            <w:t>10</w:t>
          </w:r>
          <w:r>
            <w:rPr>
              <w:noProof/>
            </w:rPr>
            <w:fldChar w:fldCharType="end"/>
          </w:r>
        </w:p>
        <w:p w14:paraId="0E0D499B" w14:textId="77777777" w:rsidR="00C93790" w:rsidRDefault="00C93790">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_Toc242438417 \h </w:instrText>
          </w:r>
          <w:r>
            <w:rPr>
              <w:noProof/>
            </w:rPr>
          </w:r>
          <w:r>
            <w:rPr>
              <w:noProof/>
            </w:rPr>
            <w:fldChar w:fldCharType="separate"/>
          </w:r>
          <w:r w:rsidR="00BB48ED">
            <w:rPr>
              <w:noProof/>
            </w:rPr>
            <w:t>10</w:t>
          </w:r>
          <w:r>
            <w:rPr>
              <w:noProof/>
            </w:rPr>
            <w:fldChar w:fldCharType="end"/>
          </w:r>
        </w:p>
        <w:p w14:paraId="2ECD8691" w14:textId="77777777" w:rsidR="00C93790" w:rsidRDefault="00C93790">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_Toc242438418 \h </w:instrText>
          </w:r>
          <w:r>
            <w:rPr>
              <w:noProof/>
            </w:rPr>
          </w:r>
          <w:r>
            <w:rPr>
              <w:noProof/>
            </w:rPr>
            <w:fldChar w:fldCharType="separate"/>
          </w:r>
          <w:r w:rsidR="00BB48ED">
            <w:rPr>
              <w:noProof/>
            </w:rPr>
            <w:t>10</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2438403"/>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2438404"/>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07CDFB6F"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4E1D34">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4E1D34" w:rsidRPr="004E1D34">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2438405"/>
      <w:r>
        <w:t>Methods for detecting epistasis</w:t>
      </w:r>
      <w:bookmarkEnd w:id="3"/>
    </w:p>
    <w:p w14:paraId="01DF965B" w14:textId="77777777" w:rsidR="00113BE5" w:rsidRDefault="00113BE5" w:rsidP="00113BE5"/>
    <w:p w14:paraId="262C2ED1" w14:textId="751930E3" w:rsidR="00113BE5" w:rsidRPr="00113BE5" w:rsidRDefault="003657D7" w:rsidP="00113BE5">
      <w:pPr>
        <w:rPr>
          <w:bCs/>
        </w:rPr>
      </w:pPr>
      <w:r>
        <w:rPr>
          <w:bCs/>
        </w:rPr>
        <w:t>Wenhua’s stuff to go here!</w:t>
      </w:r>
    </w:p>
    <w:p w14:paraId="7455F1EB" w14:textId="77777777" w:rsidR="00113BE5" w:rsidRDefault="00113BE5" w:rsidP="00113BE5"/>
    <w:p w14:paraId="3B12FD46" w14:textId="531BE12C" w:rsidR="00113BE5" w:rsidRDefault="003D4C3E" w:rsidP="00113BE5">
      <w:pPr>
        <w:pStyle w:val="Heading2"/>
      </w:pPr>
      <w:bookmarkStart w:id="4" w:name="_Toc242438406"/>
      <w:r>
        <w:t>Overview of empirical evidence for epistasis influencing complex traits</w:t>
      </w:r>
      <w:bookmarkEnd w:id="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5" w:name="_Toc242438407"/>
      <w:r>
        <w:t>Hypothesis-free studies</w:t>
      </w:r>
      <w:bookmarkEnd w:id="5"/>
    </w:p>
    <w:p w14:paraId="763AD64C" w14:textId="77777777" w:rsidR="00FB726E" w:rsidRDefault="00FB726E" w:rsidP="00E9674C"/>
    <w:p w14:paraId="1816BD45" w14:textId="45111C54"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4E1D34">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4E1D34" w:rsidRPr="004E1D34">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4E1D34">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4E1D34" w:rsidRPr="004E1D34">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00CB90E9"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4E1D34">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4E1D34" w:rsidRPr="004E1D34">
        <w:rPr>
          <w:noProof/>
          <w:vertAlign w:val="superscript"/>
        </w:rPr>
        <w:t>4</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4E1D34">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4E1D34" w:rsidRPr="004E1D34">
        <w:rPr>
          <w:noProof/>
          <w:vertAlign w:val="superscript"/>
        </w:rPr>
        <w:t>5</w:t>
      </w:r>
      <w:r w:rsidR="007A5719">
        <w:fldChar w:fldCharType="end"/>
      </w:r>
      <w:r w:rsidR="007A5719">
        <w:t xml:space="preserve">, </w:t>
      </w:r>
      <w:r w:rsidR="00AD1426">
        <w:t>BMI</w:t>
      </w:r>
      <w:r w:rsidR="00AD1426">
        <w:fldChar w:fldCharType="begin" w:fldLock="1"/>
      </w:r>
      <w:r w:rsidR="004E1D34">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4E1D34" w:rsidRPr="004E1D34">
        <w:rPr>
          <w:noProof/>
          <w:vertAlign w:val="superscript"/>
        </w:rPr>
        <w:t>6</w:t>
      </w:r>
      <w:r w:rsidR="00AD1426">
        <w:fldChar w:fldCharType="end"/>
      </w:r>
      <w:r w:rsidR="00AD1426">
        <w:t xml:space="preserve"> and serum uric acid levels</w:t>
      </w:r>
      <w:r w:rsidR="00AD1426">
        <w:fldChar w:fldCharType="begin" w:fldLock="1"/>
      </w:r>
      <w:r w:rsidR="004E1D34">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4E1D34" w:rsidRPr="004E1D34">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6" w:name="_Toc242438408"/>
      <w:r>
        <w:t>Hypothesis-driven studies</w:t>
      </w:r>
      <w:bookmarkEnd w:id="6"/>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156AC00D" w:rsidR="00AF3973" w:rsidRPr="00AF3973" w:rsidRDefault="00AF3973" w:rsidP="00AF3973">
      <w:r>
        <w:t>The sheer volume of reports of epistasis is exemplified by an important study by Combarros et el</w:t>
      </w:r>
      <w:r>
        <w:fldChar w:fldCharType="begin" w:fldLock="1"/>
      </w:r>
      <w:r w:rsidR="004E1D34">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4E1D34" w:rsidRPr="004E1D34">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E71D304"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4E1D34">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4E1D34" w:rsidRPr="004E1D34">
        <w:rPr>
          <w:noProof/>
          <w:vertAlign w:val="superscript"/>
        </w:rPr>
        <w:t>9–11</w:t>
      </w:r>
      <w:r>
        <w:fldChar w:fldCharType="end"/>
      </w:r>
      <w:r>
        <w:t xml:space="preserve"> or shown to replicate</w:t>
      </w:r>
      <w:r>
        <w:fldChar w:fldCharType="begin" w:fldLock="1"/>
      </w:r>
      <w:r w:rsidR="004E1D34">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4E1D34" w:rsidRPr="004E1D34">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6E49DEDB"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4E1D34">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4E1D34" w:rsidRPr="004E1D34">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5D85A02B" w14:textId="1D172718"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4E1D34">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4E1D34" w:rsidRPr="004E1D34">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4E1D34">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4E1D34" w:rsidRPr="004E1D34">
        <w:rPr>
          <w:noProof/>
          <w:vertAlign w:val="superscript"/>
        </w:rPr>
        <w:t>15</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1EB2BE78"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additive.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4E1D34">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"&lt;sup&gt;16&lt;/sup&gt;" }, "properties" : { "noteIndex" : 0 }, "schema" : "https://github.com/citation-style-language/schema/raw/master/csl-citation.json" }</w:instrText>
      </w:r>
      <w:r w:rsidR="000969B4">
        <w:fldChar w:fldCharType="separate"/>
      </w:r>
      <w:r w:rsidR="004E1D34" w:rsidRPr="004E1D34">
        <w:rPr>
          <w:noProof/>
          <w:vertAlign w:val="superscript"/>
        </w:rPr>
        <w:t>16</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7716D4CB"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4E1D34">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"&lt;sup&gt;17&lt;/sup&gt;" }, "properties" : { "noteIndex" : 0 }, "schema" : "https://github.com/citation-style-language/schema/raw/master/csl-citation.json" }</w:instrText>
      </w:r>
      <w:r>
        <w:fldChar w:fldCharType="separate"/>
      </w:r>
      <w:r w:rsidR="004E1D34" w:rsidRPr="004E1D34">
        <w:rPr>
          <w:noProof/>
          <w:vertAlign w:val="superscript"/>
        </w:rPr>
        <w:t>17</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604275">
        <w:fldChar w:fldCharType="begin" w:fldLock="1"/>
      </w:r>
      <w:r w:rsidR="004E1D34">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"&lt;sup&gt;18&lt;/sup&gt;" }, "properties" : { "noteIndex" : 0 }, "schema" : "https://github.com/citation-style-language/schema/raw/master/csl-citation.json" }</w:instrText>
      </w:r>
      <w:r w:rsidR="00604275">
        <w:fldChar w:fldCharType="separate"/>
      </w:r>
      <w:r w:rsidR="004E1D34" w:rsidRPr="004E1D34">
        <w:rPr>
          <w:noProof/>
          <w:vertAlign w:val="superscript"/>
        </w:rPr>
        <w:t>18</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7" w:name="_Toc242438409"/>
      <w:r w:rsidRPr="00DB5441">
        <w:t>To which scientific question(s) is epistasis the answer?</w:t>
      </w:r>
      <w:bookmarkEnd w:id="7"/>
    </w:p>
    <w:p w14:paraId="46F9F0AD" w14:textId="77777777" w:rsidR="004B5A6F" w:rsidRDefault="004B5A6F" w:rsidP="00DB5441"/>
    <w:p w14:paraId="130183B0" w14:textId="015EE9DB" w:rsidR="00DB5441" w:rsidRPr="00DB5441" w:rsidRDefault="00DB5441" w:rsidP="00DB5441">
      <w:pPr>
        <w:pStyle w:val="Heading3"/>
      </w:pPr>
      <w:bookmarkStart w:id="8" w:name="_Toc242438410"/>
      <w:r>
        <w:t>The missing heritability?</w:t>
      </w:r>
      <w:bookmarkEnd w:id="8"/>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3140A2F0"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4E1D34">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"&lt;sup&gt;19&lt;/sup&gt;" }, "properties" : { "noteIndex" : 0 }, "schema" : "https://github.com/citation-style-language/schema/raw/master/csl-citation.json" }</w:instrText>
      </w:r>
      <w:r w:rsidR="00D749C1">
        <w:fldChar w:fldCharType="separate"/>
      </w:r>
      <w:r w:rsidR="004E1D34" w:rsidRPr="004E1D34">
        <w:rPr>
          <w:noProof/>
          <w:vertAlign w:val="superscript"/>
        </w:rPr>
        <w:t>19</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4E1D34">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"&lt;sup&gt;20&lt;/sup&gt;" }, "properties" : { "noteIndex" : 0 }, "schema" : "https://github.com/citation-style-language/schema/raw/master/csl-citation.json" }</w:instrText>
      </w:r>
      <w:r w:rsidR="00D749C1">
        <w:fldChar w:fldCharType="separate"/>
      </w:r>
      <w:r w:rsidR="004E1D34" w:rsidRPr="004E1D34">
        <w:rPr>
          <w:noProof/>
          <w:vertAlign w:val="superscript"/>
        </w:rPr>
        <w:t>20</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4E1D34">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"&lt;sup&gt;2,21&lt;/sup&gt;" }, "properties" : { "noteIndex" : 0 }, "schema" : "https://github.com/citation-style-language/schema/raw/master/csl-citation.json" }</w:instrText>
      </w:r>
      <w:r w:rsidR="00C66A4D">
        <w:fldChar w:fldCharType="separate"/>
      </w:r>
      <w:r w:rsidR="004E1D34" w:rsidRPr="004E1D34">
        <w:rPr>
          <w:noProof/>
          <w:vertAlign w:val="superscript"/>
        </w:rPr>
        <w:t>2,21</w:t>
      </w:r>
      <w:r w:rsidR="00C66A4D">
        <w:fldChar w:fldCharType="end"/>
      </w:r>
      <w:r w:rsidR="007F561C">
        <w:t xml:space="preserve"> however it is unlikely to be a widespread phenomenon</w:t>
      </w:r>
      <w:r w:rsidR="007F561C">
        <w:fldChar w:fldCharType="begin" w:fldLock="1"/>
      </w:r>
      <w:r w:rsidR="004E1D34">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"&lt;sup&gt;22&lt;/sup&gt;" }, "properties" : { "noteIndex" : 0 }, "schema" : "https://github.com/citation-style-language/schema/raw/master/csl-citation.json" }</w:instrText>
      </w:r>
      <w:r w:rsidR="007F561C">
        <w:fldChar w:fldCharType="separate"/>
      </w:r>
      <w:r w:rsidR="004E1D34" w:rsidRPr="004E1D34">
        <w:rPr>
          <w:noProof/>
          <w:vertAlign w:val="superscript"/>
        </w:rPr>
        <w:t>22</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4E1D34">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"&lt;sup&gt;23&lt;/sup&gt;" }, "properties" : { "noteIndex" : 0 }, "schema" : "https://github.com/citation-style-language/schema/raw/master/csl-citation.json" }</w:instrText>
      </w:r>
      <w:r w:rsidR="00271461">
        <w:fldChar w:fldCharType="separate"/>
      </w:r>
      <w:r w:rsidR="004E1D34" w:rsidRPr="004E1D34">
        <w:rPr>
          <w:noProof/>
          <w:vertAlign w:val="superscript"/>
        </w:rPr>
        <w:t>23</w:t>
      </w:r>
      <w:r w:rsidR="00271461">
        <w:fldChar w:fldCharType="end"/>
      </w:r>
    </w:p>
    <w:p w14:paraId="719BB0ED" w14:textId="77777777" w:rsidR="00DB5441" w:rsidRDefault="00DB5441" w:rsidP="00DB5441"/>
    <w:p w14:paraId="310A998A" w14:textId="4C1A6B91"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4E1D34">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4E1D34" w:rsidRPr="004E1D34">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4E1D34">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"&lt;sup&gt;24&lt;/sup&gt;" }, "properties" : { "noteIndex" : 0 }, "schema" : "https://github.com/citation-style-language/schema/raw/master/csl-citation.json" }</w:instrText>
      </w:r>
      <w:r w:rsidR="005F0E2F">
        <w:fldChar w:fldCharType="separate"/>
      </w:r>
      <w:r w:rsidR="004E1D34" w:rsidRPr="004E1D34">
        <w:rPr>
          <w:noProof/>
          <w:vertAlign w:val="superscript"/>
        </w:rPr>
        <w:t>24</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4E1D34">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"&lt;sup&gt;25&lt;/sup&gt;" }, "properties" : { "noteIndex" : 0 }, "schema" : "https://github.com/citation-style-language/schema/raw/master/csl-citation.json" }</w:instrText>
      </w:r>
      <w:r w:rsidR="000429D1">
        <w:fldChar w:fldCharType="separate"/>
      </w:r>
      <w:r w:rsidR="004E1D34" w:rsidRPr="004E1D34">
        <w:rPr>
          <w:noProof/>
          <w:vertAlign w:val="superscript"/>
        </w:rPr>
        <w:t>25</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4E1D34">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"&lt;sup&gt;26&lt;/sup&gt;" }, "properties" : { "noteIndex" : 0 }, "schema" : "https://github.com/citation-style-language/schema/raw/master/csl-citation.json" }</w:instrText>
      </w:r>
      <w:r w:rsidR="000429D1">
        <w:fldChar w:fldCharType="separate"/>
      </w:r>
      <w:r w:rsidR="004E1D34" w:rsidRPr="004E1D34">
        <w:rPr>
          <w:noProof/>
          <w:vertAlign w:val="superscript"/>
        </w:rPr>
        <w:t>26</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4E1D34">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"&lt;sup&gt;27&lt;/sup&gt;" }, "properties" : { "noteIndex" : 0 }, "schema" : "https://github.com/citation-style-language/schema/raw/master/csl-citation.json" }</w:instrText>
      </w:r>
      <w:r w:rsidR="005F0E2F">
        <w:fldChar w:fldCharType="separate"/>
      </w:r>
      <w:r w:rsidR="004E1D34" w:rsidRPr="004E1D34">
        <w:rPr>
          <w:noProof/>
          <w:vertAlign w:val="superscript"/>
        </w:rPr>
        <w:t>27</w:t>
      </w:r>
      <w:r w:rsidR="005F0E2F">
        <w:fldChar w:fldCharType="end"/>
      </w:r>
      <w:r>
        <w:t xml:space="preserve"> </w:t>
      </w:r>
    </w:p>
    <w:p w14:paraId="6BA5CEA5" w14:textId="77777777" w:rsidR="00D26090" w:rsidRDefault="00D26090" w:rsidP="00DB5441"/>
    <w:p w14:paraId="7CDF77E5" w14:textId="21C2A4A7"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4E1D34">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"&lt;sup&gt;28&lt;/sup&gt;" }, "properties" : { "noteIndex" : 0 }, "schema" : "https://github.com/citation-style-language/schema/raw/master/csl-citation.json" }</w:instrText>
      </w:r>
      <w:r w:rsidR="000429D1">
        <w:fldChar w:fldCharType="separate"/>
      </w:r>
      <w:r w:rsidR="004E1D34" w:rsidRPr="004E1D34">
        <w:rPr>
          <w:noProof/>
          <w:vertAlign w:val="superscript"/>
        </w:rPr>
        <w:t>28</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4E1D34">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"&lt;sup&gt;29&lt;/sup&gt;" }, "properties" : { "noteIndex" : 0 }, "schema" : "https://github.com/citation-style-language/schema/raw/master/csl-citation.json" }</w:instrText>
      </w:r>
      <w:r w:rsidR="000429D1">
        <w:fldChar w:fldCharType="separate"/>
      </w:r>
      <w:r w:rsidR="004E1D34" w:rsidRPr="004E1D34">
        <w:rPr>
          <w:noProof/>
          <w:vertAlign w:val="superscript"/>
        </w:rPr>
        <w:t>29</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9" w:name="_Toc242438411"/>
      <w:r w:rsidRPr="00DB5441">
        <w:t>Elucidating</w:t>
      </w:r>
      <w:r w:rsidR="006C44C9">
        <w:t xml:space="preserve"> putative</w:t>
      </w:r>
      <w:r w:rsidRPr="00DB5441">
        <w:t xml:space="preserve"> biological mechanisms?</w:t>
      </w:r>
      <w:bookmarkEnd w:id="9"/>
    </w:p>
    <w:p w14:paraId="4812DF5F" w14:textId="77777777" w:rsidR="00DB5441" w:rsidRDefault="00DB5441" w:rsidP="00DB5441"/>
    <w:p w14:paraId="1BE3FFA8" w14:textId="11CE88F9"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4E1D34">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"&lt;sup&gt;20,30,31&lt;/sup&gt;" }, "properties" : { "noteIndex" : 0 }, "schema" : "https://github.com/citation-style-language/schema/raw/master/csl-citation.json" }</w:instrText>
      </w:r>
      <w:r w:rsidR="00D51C4B">
        <w:fldChar w:fldCharType="separate"/>
      </w:r>
      <w:r w:rsidR="004E1D34" w:rsidRPr="004E1D34">
        <w:rPr>
          <w:noProof/>
          <w:vertAlign w:val="superscript"/>
        </w:rPr>
        <w:t>20,30,31</w:t>
      </w:r>
      <w:r w:rsidR="00D51C4B">
        <w:fldChar w:fldCharType="end"/>
      </w:r>
    </w:p>
    <w:p w14:paraId="12CA73FF" w14:textId="77777777" w:rsidR="004F6E42" w:rsidRDefault="004F6E42" w:rsidP="00DB5441"/>
    <w:p w14:paraId="17101575" w14:textId="3818BD5C"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4E1D34">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"&lt;sup&gt;13,32,33&lt;/sup&gt;" }, "properties" : { "noteIndex" : 0 }, "schema" : "https://github.com/citation-style-language/schema/raw/master/csl-citation.json" }</w:instrText>
      </w:r>
      <w:r w:rsidR="00E760C2">
        <w:fldChar w:fldCharType="separate"/>
      </w:r>
      <w:r w:rsidR="004E1D34" w:rsidRPr="004E1D34">
        <w:rPr>
          <w:noProof/>
          <w:vertAlign w:val="superscript"/>
        </w:rPr>
        <w:t>13,32,33</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4E1D34">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"&lt;sup&gt;34&lt;/sup&gt;" }, "properties" : { "noteIndex" : 0 }, "schema" : "https://github.com/citation-style-language/schema/raw/master/csl-citation.json" }</w:instrText>
      </w:r>
      <w:r w:rsidR="00D61686">
        <w:fldChar w:fldCharType="separate"/>
      </w:r>
      <w:r w:rsidR="004E1D34" w:rsidRPr="004E1D34">
        <w:rPr>
          <w:noProof/>
          <w:vertAlign w:val="superscript"/>
        </w:rPr>
        <w:t>34</w:t>
      </w:r>
      <w:r w:rsidR="00D61686">
        <w:fldChar w:fldCharType="end"/>
      </w:r>
    </w:p>
    <w:p w14:paraId="5F13EA17" w14:textId="77777777" w:rsidR="00DB5441" w:rsidRDefault="00DB5441" w:rsidP="00DB5441"/>
    <w:p w14:paraId="6D688BBE" w14:textId="7C5D3B5E" w:rsidR="00376DE1" w:rsidRDefault="00ED561D" w:rsidP="00DB5441">
      <w:r>
        <w:t xml:space="preserve">An extension of these ideas is to deconstruct complex traits into </w:t>
      </w:r>
      <w:r w:rsidRPr="00604275">
        <w:rPr>
          <w:b/>
        </w:rPr>
        <w:t>endophenotypes</w:t>
      </w:r>
      <w:r>
        <w:fldChar w:fldCharType="begin" w:fldLock="1"/>
      </w:r>
      <w:r w:rsidR="004E1D34">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"&lt;sup&gt;35&lt;/sup&gt;" }, "properties" : { "noteIndex" : 0 }, "schema" : "https://github.com/citation-style-language/schema/raw/master/csl-citation.json" }</w:instrText>
      </w:r>
      <w:r>
        <w:fldChar w:fldCharType="separate"/>
      </w:r>
      <w:r w:rsidR="004E1D34" w:rsidRPr="004E1D34">
        <w:rPr>
          <w:noProof/>
          <w:vertAlign w:val="superscript"/>
        </w:rPr>
        <w:t>35</w:t>
      </w:r>
      <w:r>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4E1D34">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"&lt;sup&gt;36&lt;/sup&gt;" }, "properties" : { "noteIndex" : 0 }, "schema" : "https://github.com/citation-style-language/schema/raw/master/csl-citation.json" }</w:instrText>
      </w:r>
      <w:r w:rsidR="00670342">
        <w:fldChar w:fldCharType="separate"/>
      </w:r>
      <w:r w:rsidR="004E1D34" w:rsidRPr="004E1D34">
        <w:rPr>
          <w:noProof/>
          <w:vertAlign w:val="superscript"/>
        </w:rPr>
        <w:t>36</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4E1D34">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"&lt;sup&gt;37&lt;/sup&gt;" }, "properties" : { "noteIndex" : 0 }, "schema" : "https://github.com/citation-style-language/schema/raw/master/csl-citation.json" }</w:instrText>
      </w:r>
      <w:r w:rsidR="00D82906">
        <w:fldChar w:fldCharType="separate"/>
      </w:r>
      <w:r w:rsidR="004E1D34" w:rsidRPr="004E1D34">
        <w:rPr>
          <w:noProof/>
          <w:vertAlign w:val="superscript"/>
        </w:rPr>
        <w:t>37</w:t>
      </w:r>
      <w:r w:rsidR="00D82906">
        <w:fldChar w:fldCharType="end"/>
      </w:r>
      <w:r w:rsidR="00D82906">
        <w:t xml:space="preserve"> </w:t>
      </w:r>
    </w:p>
    <w:p w14:paraId="6A49AC67" w14:textId="77777777" w:rsidR="00376DE1" w:rsidRDefault="00376DE1" w:rsidP="00DB5441"/>
    <w:p w14:paraId="3D3D2DA4" w14:textId="17D94A83" w:rsidR="00ED561D" w:rsidRDefault="008E3D83" w:rsidP="00DB5441">
      <w:r>
        <w:t>The limiting pathway model</w:t>
      </w:r>
      <w:r>
        <w:fldChar w:fldCharType="begin" w:fldLock="1"/>
      </w:r>
      <w:r w:rsidR="004E1D34">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"&lt;sup&gt;25&lt;/sup&gt;" }, "properties" : { "noteIndex" : 0 }, "schema" : "https://github.com/citation-style-language/schema/raw/master/csl-citation.json" }</w:instrText>
      </w:r>
      <w:r>
        <w:fldChar w:fldCharType="separate"/>
      </w:r>
      <w:r w:rsidR="004E1D34" w:rsidRPr="004E1D34">
        <w:rPr>
          <w:noProof/>
          <w:vertAlign w:val="superscript"/>
        </w:rPr>
        <w:t>25</w:t>
      </w:r>
      <w:r>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9C19EB">
        <w:fldChar w:fldCharType="begin" w:fldLock="1"/>
      </w:r>
      <w:r w:rsidR="004E1D34">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"&lt;sup&gt;26&lt;/sup&gt;" }, "properties" : { "noteIndex" : 0 }, "schema" : "https://github.com/citation-style-language/schema/raw/master/csl-citation.json" }</w:instrText>
      </w:r>
      <w:r w:rsidR="009C19EB">
        <w:fldChar w:fldCharType="separate"/>
      </w:r>
      <w:r w:rsidR="004E1D34" w:rsidRPr="004E1D34">
        <w:rPr>
          <w:noProof/>
          <w:vertAlign w:val="superscript"/>
        </w:rPr>
        <w:t>26</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BD1106">
        <w:fldChar w:fldCharType="begin" w:fldLock="1"/>
      </w:r>
      <w:r w:rsidR="004E1D34">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"&lt;sup&gt;38&lt;/sup&gt;" }, "properties" : { "noteIndex" : 0 }, "schema" : "https://github.com/citation-style-language/schema/raw/master/csl-citation.json" }</w:instrText>
      </w:r>
      <w:r w:rsidR="00BD1106">
        <w:fldChar w:fldCharType="separate"/>
      </w:r>
      <w:r w:rsidR="004E1D34" w:rsidRPr="004E1D34">
        <w:rPr>
          <w:noProof/>
          <w:vertAlign w:val="superscript"/>
        </w:rPr>
        <w:t>38</w:t>
      </w:r>
      <w:r w:rsidR="00BD1106">
        <w:fldChar w:fldCharType="end"/>
      </w:r>
      <w:r w:rsidR="00BD1106">
        <w:t xml:space="preserve"> rather than advocating </w:t>
      </w:r>
      <w:r w:rsidR="00531ED9">
        <w:t>the use of</w:t>
      </w:r>
      <w:r w:rsidR="00BD1106">
        <w:t xml:space="preserve"> epistatic models to map genetic effects.</w:t>
      </w:r>
    </w:p>
    <w:p w14:paraId="1AF41BEB" w14:textId="77777777" w:rsidR="00DB5441" w:rsidRDefault="00DB5441" w:rsidP="00DB5441"/>
    <w:p w14:paraId="53A438B9" w14:textId="617BDEB6"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fldChar w:fldCharType="begin" w:fldLock="1"/>
      </w:r>
      <w:r w:rsidR="004E1D34">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"&lt;sup&gt;39,40&lt;/sup&gt;" }, "properties" : { "noteIndex" : 0 }, "schema" : "https://github.com/citation-style-language/schema/raw/master/csl-citation.json" }</w:instrText>
      </w:r>
      <w:r>
        <w:fldChar w:fldCharType="separate"/>
      </w:r>
      <w:r w:rsidR="004E1D34" w:rsidRPr="004E1D34">
        <w:rPr>
          <w:noProof/>
          <w:vertAlign w:val="superscript"/>
        </w:rPr>
        <w:t>39,40</w:t>
      </w:r>
      <w:r>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0" w:name="_Toc242438412"/>
      <w:r>
        <w:t>Evolution</w:t>
      </w:r>
      <w:r w:rsidR="00DB5441">
        <w:t xml:space="preserve"> of complex traits?</w:t>
      </w:r>
      <w:bookmarkEnd w:id="10"/>
    </w:p>
    <w:p w14:paraId="6D3A362F" w14:textId="77777777" w:rsidR="00DB5441" w:rsidRDefault="00DB5441" w:rsidP="00DB5441"/>
    <w:p w14:paraId="56D423A3" w14:textId="7517C2AD"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8903CE">
        <w:fldChar w:fldCharType="begin" w:fldLock="1"/>
      </w:r>
      <w:r w:rsidR="004E1D34">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"mendeley" : { "previouslyFormattedCitation" : "&lt;sup&gt;41\u201344&lt;/sup&gt;" }, "properties" : { "noteIndex" : 0 }, "schema" : "https://github.com/citation-style-language/schema/raw/master/csl-citation.json" }</w:instrText>
      </w:r>
      <w:r w:rsidR="008903CE">
        <w:fldChar w:fldCharType="separate"/>
      </w:r>
      <w:r w:rsidR="004E1D34" w:rsidRPr="004E1D34">
        <w:rPr>
          <w:noProof/>
          <w:vertAlign w:val="superscript"/>
        </w:rPr>
        <w:t>41–44</w:t>
      </w:r>
      <w:r w:rsidR="008903CE">
        <w:fldChar w:fldCharType="end"/>
      </w:r>
      <w:r>
        <w:t xml:space="preserve"> </w:t>
      </w:r>
      <w:r w:rsidR="001E144C">
        <w:t>There is a great deal a large body of theory that discusses the role that functional epistasis plays in long term evolutionary models, with some compelling evidence of its existence in model organisms. But functional epistasis is of relatively low importance compared to statistical epistasis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4E1D34">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        From Duplicate 1 (                           Evolution in Mendelian Populations                         - Wright, Sewall )\n                \n        \n        \n        From Duplicate 2 (                           Evolution in Mendelian Populations                         - Wright, Sewall )\n                \n        \n        \n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"&lt;sup&gt;45\u201347&lt;/sup&gt;" }, "properties" : { "noteIndex" : 0 }, "schema" : "https://github.com/citation-style-language/schema/raw/master/csl-citation.json" }</w:instrText>
      </w:r>
      <w:r w:rsidR="003645E5">
        <w:rPr>
          <w:i/>
        </w:rPr>
        <w:fldChar w:fldCharType="separate"/>
      </w:r>
      <w:r w:rsidR="004E1D34" w:rsidRPr="004E1D34">
        <w:rPr>
          <w:noProof/>
          <w:vertAlign w:val="superscript"/>
        </w:rPr>
        <w:t>45–47</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79640EA2"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r w:rsidR="0041761D" w:rsidRPr="00F50DB7">
        <w:rPr>
          <w:b/>
        </w:rPr>
        <w:t>Dobzhansky-Muller incompatibility</w:t>
      </w:r>
      <w:r w:rsidR="00F50DB7">
        <w:t>,</w:t>
      </w:r>
      <w:r w:rsidR="004E1D34">
        <w:fldChar w:fldCharType="begin" w:fldLock="1"/>
      </w:r>
      <w:r w:rsidR="004E1D34">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"&lt;sup&gt;48,49&lt;/sup&gt;" }, "properties" : { "noteIndex" : 0 }, "schema" : "https://github.com/citation-style-language/schema/raw/master/csl-citation.json" }</w:instrText>
      </w:r>
      <w:r w:rsidR="004E1D34">
        <w:fldChar w:fldCharType="separate"/>
      </w:r>
      <w:r w:rsidR="004E1D34" w:rsidRPr="004E1D34">
        <w:rPr>
          <w:noProof/>
          <w:vertAlign w:val="superscript"/>
        </w:rPr>
        <w:t>48,49</w:t>
      </w:r>
      <w:r w:rsidR="004E1D34">
        <w:fldChar w:fldCharType="end"/>
      </w:r>
      <w:bookmarkStart w:id="11" w:name="_GoBack"/>
      <w:bookmarkEnd w:id="11"/>
      <w:r w:rsidR="001E144C">
        <w:t xml:space="preserve"> where n</w:t>
      </w:r>
      <w:r w:rsidR="001E144C">
        <w:t>on-synonymous mutations in humans exist with no adverse phenotype in oth</w:t>
      </w:r>
      <w:r w:rsidR="001E144C">
        <w:t>er species,</w:t>
      </w:r>
      <w:r w:rsidR="00F50DB7">
        <w:t xml:space="preserve"> demonstrating a form of </w:t>
      </w:r>
      <w:r w:rsidR="00F50DB7" w:rsidRPr="00F50DB7">
        <w:rPr>
          <w:b/>
        </w:rPr>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4E1D34">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"&lt;sup&gt;50&lt;/sup&gt;" }, "properties" : { "noteIndex" : 0 }, "schema" : "https://github.com/citation-style-language/schema/raw/master/csl-citation.json" }</w:instrText>
      </w:r>
      <w:r w:rsidR="00F0731A">
        <w:fldChar w:fldCharType="separate"/>
      </w:r>
      <w:r w:rsidR="004E1D34" w:rsidRPr="004E1D34">
        <w:rPr>
          <w:noProof/>
          <w:vertAlign w:val="superscript"/>
        </w:rPr>
        <w:t>50</w:t>
      </w:r>
      <w:r w:rsidR="00F0731A">
        <w:fldChar w:fldCharType="end"/>
      </w:r>
    </w:p>
    <w:p w14:paraId="420BEBC6" w14:textId="77777777" w:rsidR="003B2D3F" w:rsidRDefault="003B2D3F" w:rsidP="00DB5441"/>
    <w:p w14:paraId="46BD95DA" w14:textId="283FDE33" w:rsidR="004F0505" w:rsidRDefault="00F50DB7" w:rsidP="00DB5441">
      <w:r>
        <w:t>Does this same mechanism</w:t>
      </w:r>
      <w:r w:rsidR="004F0505">
        <w:t xml:space="preserve"> arise within populations to influence complex traits</w:t>
      </w:r>
      <w:r>
        <w:t xml:space="preserve"> through </w:t>
      </w:r>
      <w:r>
        <w:rPr>
          <w:b/>
        </w:rPr>
        <w:t>statistical epistasis</w:t>
      </w:r>
      <w:r w:rsidR="004F0505">
        <w:t>? A compelling line of evidence has been shown by Lappalainen et al</w:t>
      </w:r>
      <w:r w:rsidR="004F0505">
        <w:fldChar w:fldCharType="begin" w:fldLock="1"/>
      </w:r>
      <w:r w:rsidR="004E1D34">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"&lt;sup&gt;51&lt;/sup&gt;" }, "properties" : { "noteIndex" : 0 }, "schema" : "https://github.com/citation-style-language/schema/raw/master/csl-citation.json" }</w:instrText>
      </w:r>
      <w:r w:rsidR="004F0505">
        <w:fldChar w:fldCharType="separate"/>
      </w:r>
      <w:r w:rsidR="004E1D34" w:rsidRPr="004E1D34">
        <w:rPr>
          <w:noProof/>
          <w:vertAlign w:val="superscript"/>
        </w:rPr>
        <w:t>51</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4E1D34">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"&lt;sup&gt;20&lt;/sup&gt;" }, "properties" : { "noteIndex" : 0 }, "schema" : "https://github.com/citation-style-language/schema/raw/master/csl-citation.json" }</w:instrText>
      </w:r>
      <w:r w:rsidR="003B2D3F">
        <w:fldChar w:fldCharType="separate"/>
      </w:r>
      <w:r w:rsidR="004E1D34" w:rsidRPr="004E1D34">
        <w:rPr>
          <w:noProof/>
          <w:vertAlign w:val="superscript"/>
        </w:rPr>
        <w:t>20</w:t>
      </w:r>
      <w:r w:rsidR="003B2D3F">
        <w:fldChar w:fldCharType="end"/>
      </w:r>
      <w:r w:rsidR="001E144C">
        <w:t xml:space="preserve"> In this case, it is clear that the evolution of complex traits are influenced by functional epistasis, but they will exhibit almost no statistical epistasis given the rare frequencies of the coding variants.</w:t>
      </w:r>
    </w:p>
    <w:p w14:paraId="678CCBD2" w14:textId="77777777" w:rsidR="004F0505" w:rsidRDefault="004F0505" w:rsidP="00DB5441"/>
    <w:p w14:paraId="23ED0DF5" w14:textId="19624E09" w:rsidR="00D4034C" w:rsidRDefault="003B2D3F" w:rsidP="00DB5441">
      <w:r>
        <w:t xml:space="preserve">Epistasis has also been invoked </w:t>
      </w:r>
      <w:r w:rsidR="006C4E90">
        <w:t>as a mechanism that facilitates the evolution of gene function through traversal of the fitness landscape,</w:t>
      </w:r>
      <w:r w:rsidR="006C4E90">
        <w:fldChar w:fldCharType="begin" w:fldLock="1"/>
      </w:r>
      <w:r w:rsidR="004E1D34">
        <w:instrText>ADDIN CSL_CITATION { "citationItems" : [ { "id" : "ITEM-1", "itemData" : { "author" : [ { "dropping-particle" : "", "family" : "Wright", "given" : "Sewall", "non-dropping-particle" : "", "parse-names" : false, "suffix" : "" } ], "container-title" : "Genetics", "id" : "ITEM-1", "issue" : "2", "issued" : { "date-parts" : [ [ "1931", "3" ] ] }, "note" : "        From Duplicate 1 (                           Evolution in Mendelian Populations                         - Wright, Sewall )\n                \n        \n        \n        From Duplicate 2 (                           Evolution in Mendelian Populations                         - Wright, Sewall )\n                \n        \n        \n      ", "page" : "97\u2013159", "title" : "Evolution in Mendelian Populations", "type" : "article-journal", "volume" : "16" }, "uris" : [ "http://www.mendeley.com/documents/?uuid=9e78f750-bcfa-49ef-b5fc-e65a00bf0a0c" ] } ], "mendeley" : { "previouslyFormattedCitation" : "&lt;sup&gt;46&lt;/sup&gt;" }, "properties" : { "noteIndex" : 0 }, "schema" : "https://github.com/citation-style-language/schema/raw/master/csl-citation.json" }</w:instrText>
      </w:r>
      <w:r w:rsidR="006C4E90">
        <w:fldChar w:fldCharType="separate"/>
      </w:r>
      <w:r w:rsidR="004E1D34" w:rsidRPr="004E1D34">
        <w:rPr>
          <w:noProof/>
          <w:vertAlign w:val="superscript"/>
        </w:rPr>
        <w:t>46</w:t>
      </w:r>
      <w:r w:rsidR="006C4E90">
        <w:fldChar w:fldCharType="end"/>
      </w:r>
    </w:p>
    <w:p w14:paraId="1730E6F1" w14:textId="77777777" w:rsidR="00AF3B3B" w:rsidRDefault="00AF3B3B" w:rsidP="00DB5441"/>
    <w:p w14:paraId="26EDBF98" w14:textId="7D0B379D"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4E1D34">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"&lt;sup&gt;52&lt;/sup&gt;" }, "properties" : { "noteIndex" : 0 }, "schema" : "https://github.com/citation-style-language/schema/raw/master/csl-citation.json" }</w:instrText>
      </w:r>
      <w:r w:rsidR="00835108">
        <w:fldChar w:fldCharType="separate"/>
      </w:r>
      <w:r w:rsidR="004E1D34" w:rsidRPr="004E1D34">
        <w:rPr>
          <w:noProof/>
          <w:vertAlign w:val="superscript"/>
        </w:rPr>
        <w:t>52</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epistatic effects emerged for both enzymatic functions at each of the 9 steps. </w:t>
      </w:r>
    </w:p>
    <w:p w14:paraId="3AA740F0" w14:textId="77777777" w:rsidR="00B66C23" w:rsidRDefault="00B66C23" w:rsidP="00DB5441"/>
    <w:p w14:paraId="6E01C3AA" w14:textId="17097380"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4E1D34">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"&lt;sup&gt;20&lt;/sup&gt;" }, "properties" : { "noteIndex" : 0 }, "schema" : "https://github.com/citation-style-language/schema/raw/master/csl-citation.json" }</w:instrText>
      </w:r>
      <w:r>
        <w:fldChar w:fldCharType="separate"/>
      </w:r>
      <w:r w:rsidR="004E1D34" w:rsidRPr="004E1D34">
        <w:rPr>
          <w:noProof/>
          <w:vertAlign w:val="superscript"/>
        </w:rPr>
        <w:t>20</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10AD1907" w14:textId="77777777" w:rsidR="00F916FA" w:rsidRPr="003B2D3F" w:rsidRDefault="00F916FA" w:rsidP="003B2D3F">
      <w:pPr>
        <w:rPr>
          <w:rFonts w:ascii="Times" w:hAnsi="Times" w:cs="Times New Roman"/>
          <w:sz w:val="20"/>
          <w:szCs w:val="20"/>
          <w:lang w:val="en-AU"/>
        </w:rPr>
      </w:pPr>
      <w:r w:rsidRPr="003B2D3F">
        <w:rPr>
          <w:rFonts w:ascii="Times" w:hAnsi="Times" w:cs="Times New Roman"/>
          <w:sz w:val="20"/>
          <w:szCs w:val="20"/>
          <w:lang w:val="en-AU"/>
        </w:rPr>
        <w:t>Intramolecular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2" w:name="_Toc242438413"/>
      <w:r>
        <w:t>G</w:t>
      </w:r>
      <w:r w:rsidR="00DB5441">
        <w:t>enetic prediction</w:t>
      </w:r>
      <w:r>
        <w:t xml:space="preserve"> and personalised genomics</w:t>
      </w:r>
      <w:r w:rsidR="00DB5441">
        <w:t>?</w:t>
      </w:r>
      <w:bookmarkEnd w:id="12"/>
    </w:p>
    <w:p w14:paraId="64D1F98A" w14:textId="77777777" w:rsidR="00DB5441" w:rsidRDefault="00DB5441" w:rsidP="00DB5441"/>
    <w:p w14:paraId="28565267" w14:textId="4C8AE929"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4E1D34">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"&lt;sup&gt;53&lt;/sup&gt;" }, "properties" : { "noteIndex" : 0 }, "schema" : "https://github.com/citation-style-language/schema/raw/master/csl-citation.json" }</w:instrText>
      </w:r>
      <w:r w:rsidR="001E05D5">
        <w:fldChar w:fldCharType="separate"/>
      </w:r>
      <w:r w:rsidR="004E1D34" w:rsidRPr="004E1D34">
        <w:rPr>
          <w:noProof/>
          <w:vertAlign w:val="superscript"/>
        </w:rPr>
        <w:t>53</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4E1D34">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"&lt;sup&gt;54&lt;/sup&gt;" }, "properties" : { "noteIndex" : 0 }, "schema" : "https://github.com/citation-style-language/schema/raw/master/csl-citation.json" }</w:instrText>
      </w:r>
      <w:r w:rsidR="001E05D5">
        <w:fldChar w:fldCharType="separate"/>
      </w:r>
      <w:r w:rsidR="004E1D34" w:rsidRPr="004E1D34">
        <w:rPr>
          <w:noProof/>
          <w:vertAlign w:val="superscript"/>
        </w:rPr>
        <w:t>54</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4E1D34">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"&lt;sup&gt;55&lt;/sup&gt;" }, "properties" : { "noteIndex" : 0 }, "schema" : "https://github.com/citation-style-language/schema/raw/master/csl-citation.json" }</w:instrText>
      </w:r>
      <w:r w:rsidR="001E05D5">
        <w:fldChar w:fldCharType="separate"/>
      </w:r>
      <w:r w:rsidR="004E1D34" w:rsidRPr="004E1D34">
        <w:rPr>
          <w:noProof/>
          <w:vertAlign w:val="superscript"/>
        </w:rPr>
        <w:t>55</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4AE1D9A4"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4E1D34">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"&lt;sup&gt;56,57&lt;/sup&gt;" }, "properties" : { "noteIndex" : 0 }, "schema" : "https://github.com/citation-style-language/schema/raw/master/csl-citation.json" }</w:instrText>
      </w:r>
      <w:r w:rsidR="005D2A7F">
        <w:fldChar w:fldCharType="separate"/>
      </w:r>
      <w:r w:rsidR="004E1D34" w:rsidRPr="004E1D34">
        <w:rPr>
          <w:noProof/>
          <w:vertAlign w:val="superscript"/>
        </w:rPr>
        <w:t>56,57</w:t>
      </w:r>
      <w:r w:rsidR="005D2A7F">
        <w:fldChar w:fldCharType="end"/>
      </w:r>
      <w:r w:rsidR="005D2A7F">
        <w:t xml:space="preserve"> or gene expression levels</w:t>
      </w:r>
      <w:r w:rsidR="0060638D">
        <w:t>.</w:t>
      </w:r>
      <w:r w:rsidR="005D2A7F">
        <w:fldChar w:fldCharType="begin" w:fldLock="1"/>
      </w:r>
      <w:r w:rsidR="004E1D34">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"&lt;sup&gt;58&lt;/sup&gt;" }, "properties" : { "noteIndex" : 0 }, "schema" : "https://github.com/citation-style-language/schema/raw/master/csl-citation.json" }</w:instrText>
      </w:r>
      <w:r w:rsidR="005D2A7F">
        <w:fldChar w:fldCharType="separate"/>
      </w:r>
      <w:r w:rsidR="004E1D34" w:rsidRPr="004E1D34">
        <w:rPr>
          <w:noProof/>
          <w:vertAlign w:val="superscript"/>
        </w:rPr>
        <w:t>58</w:t>
      </w:r>
      <w:r w:rsidR="005D2A7F">
        <w:fldChar w:fldCharType="end"/>
      </w:r>
    </w:p>
    <w:p w14:paraId="3989B369" w14:textId="77777777" w:rsidR="00F916FA" w:rsidRDefault="00F916FA" w:rsidP="00DB5441"/>
    <w:p w14:paraId="5B131DF0" w14:textId="05F66D20"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4E1D34">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        From Duplicate 1 (                           Common polygenic variation contributes to risk of schizophrenia and bipolar disorder                         - Purcell, S.M.; Wray, N.R.; Stone, J.L.; Visscher, P.M.; O'Donovan, M.C.; Sullivan, P.F.; Sklar, P.; Ruderfer, D.M.; McQuillin, A.; Morris, D.W.; others )\n                \n        \n        \n        From Duplicate 2 (                           Common polygenic variation contributes to risk of schizophrenia and bipolar disorder                         - Purcell, S.M.; Wray, N.R.; Stone, J.L.; Visscher, P.M.; O'Donovan, M.C.; Sullivan, P.F.; Sklar, P.; Ruderfer, D.M.; McQuillin, A.; Morris, D.W.; others )\n                \n        \n        \n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"&lt;sup&gt;59&lt;/sup&gt;" }, "properties" : { "noteIndex" : 0 }, "schema" : "https://github.com/citation-style-language/schema/raw/master/csl-citation.json" }</w:instrText>
      </w:r>
      <w:r w:rsidR="0048723E">
        <w:fldChar w:fldCharType="separate"/>
      </w:r>
      <w:r w:rsidR="004E1D34" w:rsidRPr="004E1D34">
        <w:rPr>
          <w:noProof/>
          <w:vertAlign w:val="superscript"/>
        </w:rPr>
        <w:t>59</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et al</w:t>
      </w:r>
      <w:r w:rsidR="00CA1BF8">
        <w:fldChar w:fldCharType="begin" w:fldLock="1"/>
      </w:r>
      <w:r w:rsidR="004E1D34">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"&lt;sup&gt;55&lt;/sup&gt;" }, "properties" : { "noteIndex" : 0 }, "schema" : "https://github.com/citation-style-language/schema/raw/master/csl-citation.json" }</w:instrText>
      </w:r>
      <w:r w:rsidR="00CA1BF8">
        <w:fldChar w:fldCharType="separate"/>
      </w:r>
      <w:r w:rsidR="004E1D34" w:rsidRPr="004E1D34">
        <w:rPr>
          <w:noProof/>
          <w:vertAlign w:val="superscript"/>
        </w:rPr>
        <w:t>55</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4E1D34">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"&lt;sup&gt;55,60&lt;/sup&gt;" }, "properties" : { "noteIndex" : 0 }, "schema" : "https://github.com/citation-style-language/schema/raw/master/csl-citation.json" }</w:instrText>
      </w:r>
      <w:r w:rsidR="0060638D">
        <w:fldChar w:fldCharType="separate"/>
      </w:r>
      <w:r w:rsidR="004E1D34" w:rsidRPr="004E1D34">
        <w:rPr>
          <w:noProof/>
          <w:vertAlign w:val="superscript"/>
        </w:rPr>
        <w:t>55,60</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4E1D34">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"&lt;sup&gt;61&lt;/sup&gt;" }, "properties" : { "noteIndex" : 0 }, "schema" : "https://github.com/citation-style-language/schema/raw/master/csl-citation.json" }</w:instrText>
      </w:r>
      <w:r w:rsidR="00CA1BF8">
        <w:fldChar w:fldCharType="separate"/>
      </w:r>
      <w:r w:rsidR="004E1D34" w:rsidRPr="004E1D34">
        <w:rPr>
          <w:noProof/>
          <w:vertAlign w:val="superscript"/>
        </w:rPr>
        <w:t>61</w:t>
      </w:r>
      <w:r w:rsidR="00CA1BF8">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A1BF8">
        <w:fldChar w:fldCharType="begin" w:fldLock="1"/>
      </w:r>
      <w:r w:rsidR="004E1D34">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"&lt;sup&gt;62&lt;/sup&gt;" }, "properties" : { "noteIndex" : 0 }, "schema" : "https://github.com/citation-style-language/schema/raw/master/csl-citation.json" }</w:instrText>
      </w:r>
      <w:r w:rsidR="00CA1BF8">
        <w:fldChar w:fldCharType="separate"/>
      </w:r>
      <w:r w:rsidR="004E1D34" w:rsidRPr="004E1D34">
        <w:rPr>
          <w:noProof/>
          <w:vertAlign w:val="superscript"/>
        </w:rPr>
        <w:t>62</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07B1592C"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4E1D34">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"&lt;sup&gt;63&lt;/sup&gt;" }, "properties" : { "noteIndex" : 0 }, "schema" : "https://github.com/citation-style-language/schema/raw/master/csl-citation.json" }</w:instrText>
      </w:r>
      <w:r>
        <w:fldChar w:fldCharType="separate"/>
      </w:r>
      <w:r w:rsidR="004E1D34" w:rsidRPr="004E1D34">
        <w:rPr>
          <w:noProof/>
          <w:vertAlign w:val="superscript"/>
        </w:rPr>
        <w:t>63</w:t>
      </w:r>
      <w:r>
        <w:fldChar w:fldCharType="end"/>
      </w:r>
      <w:r>
        <w:t xml:space="preserve"> for prediction in independent samples</w:t>
      </w:r>
      <w:r>
        <w:fldChar w:fldCharType="begin" w:fldLock="1"/>
      </w:r>
      <w:r w:rsidR="004E1D34">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"&lt;sup&gt;64&lt;/sup&gt;" }, "properties" : { "noteIndex" : 0 }, "schema" : "https://github.com/citation-style-language/schema/raw/master/csl-citation.json" }</w:instrText>
      </w:r>
      <w:r>
        <w:fldChar w:fldCharType="separate"/>
      </w:r>
      <w:r w:rsidR="004E1D34" w:rsidRPr="004E1D34">
        <w:rPr>
          <w:noProof/>
          <w:vertAlign w:val="superscript"/>
        </w:rPr>
        <w:t>64</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4E1D34">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"&lt;sup&gt;65\u201367&lt;/sup&gt;" }, "properties" : { "noteIndex" : 0 }, "schema" : "https://github.com/citation-style-language/schema/raw/master/csl-citation.json" }</w:instrText>
      </w:r>
      <w:r w:rsidR="005E14B4">
        <w:fldChar w:fldCharType="separate"/>
      </w:r>
      <w:r w:rsidR="004E1D34" w:rsidRPr="004E1D34">
        <w:rPr>
          <w:noProof/>
          <w:vertAlign w:val="superscript"/>
        </w:rPr>
        <w:t>65–67</w:t>
      </w:r>
      <w:r w:rsidR="005E14B4">
        <w:fldChar w:fldCharType="end"/>
      </w:r>
      <w:r w:rsidR="005E14B4">
        <w:t>, whereas others demonstrate that inclusion of epistatic effects yields no improvement in prediction accuracy,</w:t>
      </w:r>
      <w:r w:rsidR="005E14B4">
        <w:fldChar w:fldCharType="begin" w:fldLock="1"/>
      </w:r>
      <w:r w:rsidR="004E1D34">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"&lt;sup&gt;68&lt;/sup&gt;" }, "properties" : { "noteIndex" : 0 }, "schema" : "https://github.com/citation-style-language/schema/raw/master/csl-citation.json" }</w:instrText>
      </w:r>
      <w:r w:rsidR="005E14B4">
        <w:fldChar w:fldCharType="separate"/>
      </w:r>
      <w:r w:rsidR="004E1D34" w:rsidRPr="004E1D34">
        <w:rPr>
          <w:noProof/>
          <w:vertAlign w:val="superscript"/>
        </w:rPr>
        <w:t>68</w:t>
      </w:r>
      <w:r w:rsidR="005E14B4">
        <w:fldChar w:fldCharType="end"/>
      </w:r>
      <w:r w:rsidR="005E14B4">
        <w:t xml:space="preserve"> or that additive effects alone are sufficient to explain most genetic variation.</w:t>
      </w:r>
      <w:r w:rsidR="005E14B4">
        <w:fldChar w:fldCharType="begin" w:fldLock="1"/>
      </w:r>
      <w:r w:rsidR="004E1D34">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"&lt;sup&gt;69&lt;/sup&gt;" }, "properties" : { "noteIndex" : 0 }, "schema" : "https://github.com/citation-style-language/schema/raw/master/csl-citation.json" }</w:instrText>
      </w:r>
      <w:r w:rsidR="005E14B4">
        <w:fldChar w:fldCharType="separate"/>
      </w:r>
      <w:r w:rsidR="004E1D34" w:rsidRPr="004E1D34">
        <w:rPr>
          <w:noProof/>
          <w:vertAlign w:val="superscript"/>
        </w:rPr>
        <w:t>69</w:t>
      </w:r>
      <w:r w:rsidR="005E14B4">
        <w:fldChar w:fldCharType="end"/>
      </w:r>
    </w:p>
    <w:p w14:paraId="12A40613" w14:textId="77777777" w:rsidR="00F916FA" w:rsidRDefault="00F916FA" w:rsidP="00DB5441"/>
    <w:p w14:paraId="072ADA65" w14:textId="1DB0388D" w:rsidR="00DB5441" w:rsidRDefault="00813BAE" w:rsidP="00DB5441">
      <w:pPr>
        <w:pStyle w:val="Heading2"/>
      </w:pPr>
      <w:bookmarkStart w:id="13" w:name="_Toc242438414"/>
      <w:r>
        <w:t>Conclusion</w:t>
      </w:r>
      <w:bookmarkEnd w:id="13"/>
      <w:r w:rsidR="00C93790">
        <w:t>s</w:t>
      </w:r>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4" w:name="_Toc242438415"/>
      <w:r>
        <w:t>Box 1: Why is epistasis theoretically difficult to detect?</w:t>
      </w:r>
      <w:bookmarkEnd w:id="14"/>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quadratically with LD r^2), and dominance x dominance variance is quadratically dependent at both positions (reduces to the fourth power with LD r^2). The consequence of these constraints is that any given SNP chip has substantially greater coverage of the genome when searching for additive effects than when searching for epistatic effects. To overcome this problem one needs larger sample sizes or more dense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5" w:name="_Toc242438416"/>
      <w:r>
        <w:t>Box 2: What constitutes a significant epistatic interaction?</w:t>
      </w:r>
      <w:bookmarkEnd w:id="15"/>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Scale effects, haplotype effects, linked loci, liability vs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6" w:name="_Toc242438417"/>
      <w:r>
        <w:t>Glossary</w:t>
      </w:r>
      <w:bookmarkEnd w:id="1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17" w:name="_Toc242438418"/>
      <w:r>
        <w:t>References</w:t>
      </w:r>
      <w:bookmarkEnd w:id="17"/>
    </w:p>
    <w:p w14:paraId="64E5C2C1" w14:textId="77777777" w:rsidR="005F0E2F" w:rsidRDefault="005F0E2F"/>
    <w:p w14:paraId="3E2DF7E3" w14:textId="0649C18D" w:rsidR="004E1D34" w:rsidRPr="004E1D34" w:rsidRDefault="005F0E2F">
      <w:pPr>
        <w:pStyle w:val="NormalWeb"/>
        <w:ind w:left="640" w:hanging="640"/>
        <w:divId w:val="968240999"/>
        <w:rPr>
          <w:rFonts w:ascii="Cambria" w:hAnsi="Cambria"/>
          <w:noProof/>
          <w:sz w:val="24"/>
        </w:rPr>
      </w:pPr>
      <w:r>
        <w:fldChar w:fldCharType="begin" w:fldLock="1"/>
      </w:r>
      <w:r>
        <w:instrText xml:space="preserve">ADDIN Mendeley Bibliography CSL_BIBLIOGRAPHY </w:instrText>
      </w:r>
      <w:r>
        <w:fldChar w:fldCharType="separate"/>
      </w:r>
      <w:r w:rsidR="004E1D34" w:rsidRPr="004E1D34">
        <w:rPr>
          <w:rFonts w:ascii="Cambria" w:hAnsi="Cambria"/>
          <w:noProof/>
          <w:sz w:val="24"/>
        </w:rPr>
        <w:t>1.</w:t>
      </w:r>
      <w:r w:rsidR="004E1D34" w:rsidRPr="004E1D34">
        <w:rPr>
          <w:rFonts w:ascii="Cambria" w:hAnsi="Cambria"/>
          <w:noProof/>
          <w:sz w:val="24"/>
        </w:rPr>
        <w:tab/>
        <w:t xml:space="preserve">Visscher, P. M., Hill, W. G. &amp; Wray, N. R. Heritability in the genomics era--concepts and misconceptions. </w:t>
      </w:r>
      <w:r w:rsidR="004E1D34" w:rsidRPr="004E1D34">
        <w:rPr>
          <w:rFonts w:ascii="Cambria" w:hAnsi="Cambria"/>
          <w:i/>
          <w:iCs/>
          <w:noProof/>
          <w:sz w:val="24"/>
        </w:rPr>
        <w:t>Nat. Rev. Genet.</w:t>
      </w:r>
      <w:r w:rsidR="004E1D34" w:rsidRPr="004E1D34">
        <w:rPr>
          <w:rFonts w:ascii="Cambria" w:hAnsi="Cambria"/>
          <w:noProof/>
          <w:sz w:val="24"/>
        </w:rPr>
        <w:t xml:space="preserve"> </w:t>
      </w:r>
      <w:r w:rsidR="004E1D34" w:rsidRPr="004E1D34">
        <w:rPr>
          <w:rFonts w:ascii="Cambria" w:hAnsi="Cambria"/>
          <w:b/>
          <w:bCs/>
          <w:noProof/>
          <w:sz w:val="24"/>
        </w:rPr>
        <w:t>9,</w:t>
      </w:r>
      <w:r w:rsidR="004E1D34" w:rsidRPr="004E1D34">
        <w:rPr>
          <w:rFonts w:ascii="Cambria" w:hAnsi="Cambria"/>
          <w:noProof/>
          <w:sz w:val="24"/>
        </w:rPr>
        <w:t xml:space="preserve"> 255–66 (2008).</w:t>
      </w:r>
    </w:p>
    <w:p w14:paraId="048B920A"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w:t>
      </w:r>
      <w:r w:rsidRPr="004E1D34">
        <w:rPr>
          <w:rFonts w:ascii="Cambria" w:hAnsi="Cambria"/>
          <w:noProof/>
          <w:sz w:val="24"/>
        </w:rPr>
        <w:tab/>
        <w:t xml:space="preserve">Wan, X. </w:t>
      </w:r>
      <w:r w:rsidRPr="004E1D34">
        <w:rPr>
          <w:rFonts w:ascii="Cambria" w:hAnsi="Cambria"/>
          <w:i/>
          <w:iCs/>
          <w:noProof/>
          <w:sz w:val="24"/>
        </w:rPr>
        <w:t>et al.</w:t>
      </w:r>
      <w:r w:rsidRPr="004E1D34">
        <w:rPr>
          <w:rFonts w:ascii="Cambria" w:hAnsi="Cambria"/>
          <w:noProof/>
          <w:sz w:val="24"/>
        </w:rPr>
        <w:t xml:space="preserve"> BOOST: A Fast Approach to Detecting Gene-Gene Interactions in Genome-wide Case-Control Studies. </w:t>
      </w:r>
      <w:r w:rsidRPr="004E1D34">
        <w:rPr>
          <w:rFonts w:ascii="Cambria" w:hAnsi="Cambria"/>
          <w:i/>
          <w:iCs/>
          <w:noProof/>
          <w:sz w:val="24"/>
        </w:rPr>
        <w:t>Am. J. Hum. Genet.</w:t>
      </w:r>
      <w:r w:rsidRPr="004E1D34">
        <w:rPr>
          <w:rFonts w:ascii="Cambria" w:hAnsi="Cambria"/>
          <w:noProof/>
          <w:sz w:val="24"/>
        </w:rPr>
        <w:t xml:space="preserve"> </w:t>
      </w:r>
      <w:r w:rsidRPr="004E1D34">
        <w:rPr>
          <w:rFonts w:ascii="Cambria" w:hAnsi="Cambria"/>
          <w:b/>
          <w:bCs/>
          <w:noProof/>
          <w:sz w:val="24"/>
        </w:rPr>
        <w:t>87,</w:t>
      </w:r>
      <w:r w:rsidRPr="004E1D34">
        <w:rPr>
          <w:rFonts w:ascii="Cambria" w:hAnsi="Cambria"/>
          <w:noProof/>
          <w:sz w:val="24"/>
        </w:rPr>
        <w:t xml:space="preserve"> 325–340 (2010).</w:t>
      </w:r>
    </w:p>
    <w:p w14:paraId="796E438D"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w:t>
      </w:r>
      <w:r w:rsidRPr="004E1D34">
        <w:rPr>
          <w:rFonts w:ascii="Cambria" w:hAnsi="Cambria"/>
          <w:noProof/>
          <w:sz w:val="24"/>
        </w:rPr>
        <w:tab/>
        <w:t xml:space="preserve">Lippert, C. </w:t>
      </w:r>
      <w:r w:rsidRPr="004E1D34">
        <w:rPr>
          <w:rFonts w:ascii="Cambria" w:hAnsi="Cambria"/>
          <w:i/>
          <w:iCs/>
          <w:noProof/>
          <w:sz w:val="24"/>
        </w:rPr>
        <w:t>et al.</w:t>
      </w:r>
      <w:r w:rsidRPr="004E1D34">
        <w:rPr>
          <w:rFonts w:ascii="Cambria" w:hAnsi="Cambria"/>
          <w:noProof/>
          <w:sz w:val="24"/>
        </w:rPr>
        <w:t xml:space="preserve"> An exhaustive epistatic SNP association analysis on expanded Wellcome Trust data. </w:t>
      </w:r>
      <w:r w:rsidRPr="004E1D34">
        <w:rPr>
          <w:rFonts w:ascii="Cambria" w:hAnsi="Cambria"/>
          <w:i/>
          <w:iCs/>
          <w:noProof/>
          <w:sz w:val="24"/>
        </w:rPr>
        <w:t>Sci. Rep.</w:t>
      </w:r>
      <w:r w:rsidRPr="004E1D34">
        <w:rPr>
          <w:rFonts w:ascii="Cambria" w:hAnsi="Cambria"/>
          <w:noProof/>
          <w:sz w:val="24"/>
        </w:rPr>
        <w:t xml:space="preserve"> </w:t>
      </w:r>
      <w:r w:rsidRPr="004E1D34">
        <w:rPr>
          <w:rFonts w:ascii="Cambria" w:hAnsi="Cambria"/>
          <w:b/>
          <w:bCs/>
          <w:noProof/>
          <w:sz w:val="24"/>
        </w:rPr>
        <w:t>3,</w:t>
      </w:r>
      <w:r w:rsidRPr="004E1D34">
        <w:rPr>
          <w:rFonts w:ascii="Cambria" w:hAnsi="Cambria"/>
          <w:noProof/>
          <w:sz w:val="24"/>
        </w:rPr>
        <w:t xml:space="preserve"> 1099 (2013).</w:t>
      </w:r>
    </w:p>
    <w:p w14:paraId="162261B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w:t>
      </w:r>
      <w:r w:rsidRPr="004E1D34">
        <w:rPr>
          <w:rFonts w:ascii="Cambria" w:hAnsi="Cambria"/>
          <w:noProof/>
          <w:sz w:val="24"/>
        </w:rPr>
        <w:tab/>
        <w:t xml:space="preserve">Subirana, I. </w:t>
      </w:r>
      <w:r w:rsidRPr="004E1D34">
        <w:rPr>
          <w:rFonts w:ascii="Cambria" w:hAnsi="Cambria"/>
          <w:i/>
          <w:iCs/>
          <w:noProof/>
          <w:sz w:val="24"/>
        </w:rPr>
        <w:t>et al.</w:t>
      </w:r>
      <w:r w:rsidRPr="004E1D34">
        <w:rPr>
          <w:rFonts w:ascii="Cambria" w:hAnsi="Cambria"/>
          <w:noProof/>
          <w:sz w:val="24"/>
        </w:rPr>
        <w:t xml:space="preserve"> Hypothesis-Based Analysis of Gene-Gene Interactions and Risk of Myocardial Infarction. </w:t>
      </w:r>
      <w:r w:rsidRPr="004E1D34">
        <w:rPr>
          <w:rFonts w:ascii="Cambria" w:hAnsi="Cambria"/>
          <w:b/>
          <w:bCs/>
          <w:noProof/>
          <w:sz w:val="24"/>
        </w:rPr>
        <w:t>7,</w:t>
      </w:r>
      <w:r w:rsidRPr="004E1D34">
        <w:rPr>
          <w:rFonts w:ascii="Cambria" w:hAnsi="Cambria"/>
          <w:noProof/>
          <w:sz w:val="24"/>
        </w:rPr>
        <w:t xml:space="preserve"> (2012).</w:t>
      </w:r>
    </w:p>
    <w:p w14:paraId="400BC675"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w:t>
      </w:r>
      <w:r w:rsidRPr="004E1D34">
        <w:rPr>
          <w:rFonts w:ascii="Cambria" w:hAnsi="Cambria"/>
          <w:noProof/>
          <w:sz w:val="24"/>
        </w:rPr>
        <w:tab/>
        <w:t xml:space="preserve">Bell, J. T. </w:t>
      </w:r>
      <w:r w:rsidRPr="004E1D34">
        <w:rPr>
          <w:rFonts w:ascii="Cambria" w:hAnsi="Cambria"/>
          <w:i/>
          <w:iCs/>
          <w:noProof/>
          <w:sz w:val="24"/>
        </w:rPr>
        <w:t>et al.</w:t>
      </w:r>
      <w:r w:rsidRPr="004E1D34">
        <w:rPr>
          <w:rFonts w:ascii="Cambria" w:hAnsi="Cambria"/>
          <w:noProof/>
          <w:sz w:val="24"/>
        </w:rPr>
        <w:t xml:space="preserve"> Genome-Wide Association Scan Allowing for Epistasis in Type 2 Diabetes. </w:t>
      </w:r>
      <w:r w:rsidRPr="004E1D34">
        <w:rPr>
          <w:rFonts w:ascii="Cambria" w:hAnsi="Cambria"/>
          <w:i/>
          <w:iCs/>
          <w:noProof/>
          <w:sz w:val="24"/>
        </w:rPr>
        <w:t>Ann. Hum. Genet.</w:t>
      </w:r>
      <w:r w:rsidRPr="004E1D34">
        <w:rPr>
          <w:rFonts w:ascii="Cambria" w:hAnsi="Cambria"/>
          <w:noProof/>
          <w:sz w:val="24"/>
        </w:rPr>
        <w:t xml:space="preserve"> </w:t>
      </w:r>
      <w:r w:rsidRPr="004E1D34">
        <w:rPr>
          <w:rFonts w:ascii="Cambria" w:hAnsi="Cambria"/>
          <w:b/>
          <w:bCs/>
          <w:noProof/>
          <w:sz w:val="24"/>
        </w:rPr>
        <w:t>75,</w:t>
      </w:r>
      <w:r w:rsidRPr="004E1D34">
        <w:rPr>
          <w:rFonts w:ascii="Cambria" w:hAnsi="Cambria"/>
          <w:noProof/>
          <w:sz w:val="24"/>
        </w:rPr>
        <w:t xml:space="preserve"> 10–19 (2011).</w:t>
      </w:r>
    </w:p>
    <w:p w14:paraId="1EC93E96"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w:t>
      </w:r>
      <w:r w:rsidRPr="004E1D34">
        <w:rPr>
          <w:rFonts w:ascii="Cambria" w:hAnsi="Cambria"/>
          <w:noProof/>
          <w:sz w:val="24"/>
        </w:rPr>
        <w:tab/>
        <w:t xml:space="preserve">Wei, W. H. </w:t>
      </w:r>
      <w:r w:rsidRPr="004E1D34">
        <w:rPr>
          <w:rFonts w:ascii="Cambria" w:hAnsi="Cambria"/>
          <w:i/>
          <w:iCs/>
          <w:noProof/>
          <w:sz w:val="24"/>
        </w:rPr>
        <w:t>et al.</w:t>
      </w:r>
      <w:r w:rsidRPr="004E1D34">
        <w:rPr>
          <w:rFonts w:ascii="Cambria" w:hAnsi="Cambria"/>
          <w:noProof/>
          <w:sz w:val="24"/>
        </w:rPr>
        <w:t xml:space="preserve"> Genome-wide analysis of epistasis in body mass index using multiple human populations. </w:t>
      </w:r>
      <w:r w:rsidRPr="004E1D34">
        <w:rPr>
          <w:rFonts w:ascii="Cambria" w:hAnsi="Cambria"/>
          <w:i/>
          <w:iCs/>
          <w:noProof/>
          <w:sz w:val="24"/>
        </w:rPr>
        <w:t>Eur J Hum Genet</w:t>
      </w:r>
      <w:r w:rsidRPr="004E1D34">
        <w:rPr>
          <w:rFonts w:ascii="Cambria" w:hAnsi="Cambria"/>
          <w:noProof/>
          <w:sz w:val="24"/>
        </w:rPr>
        <w:t xml:space="preserve"> </w:t>
      </w:r>
      <w:r w:rsidRPr="004E1D34">
        <w:rPr>
          <w:rFonts w:ascii="Cambria" w:hAnsi="Cambria"/>
          <w:b/>
          <w:bCs/>
          <w:noProof/>
          <w:sz w:val="24"/>
        </w:rPr>
        <w:t>20,</w:t>
      </w:r>
      <w:r w:rsidRPr="004E1D34">
        <w:rPr>
          <w:rFonts w:ascii="Cambria" w:hAnsi="Cambria"/>
          <w:noProof/>
          <w:sz w:val="24"/>
        </w:rPr>
        <w:t xml:space="preserve"> 857–862 (2012).</w:t>
      </w:r>
    </w:p>
    <w:p w14:paraId="2972D04B"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7.</w:t>
      </w:r>
      <w:r w:rsidRPr="004E1D34">
        <w:rPr>
          <w:rFonts w:ascii="Cambria" w:hAnsi="Cambria"/>
          <w:noProof/>
          <w:sz w:val="24"/>
        </w:rPr>
        <w:tab/>
        <w:t xml:space="preserve">Wei, W. </w:t>
      </w:r>
      <w:r w:rsidRPr="004E1D34">
        <w:rPr>
          <w:rFonts w:ascii="Cambria" w:hAnsi="Cambria"/>
          <w:i/>
          <w:iCs/>
          <w:noProof/>
          <w:sz w:val="24"/>
        </w:rPr>
        <w:t>et al.</w:t>
      </w:r>
      <w:r w:rsidRPr="004E1D34">
        <w:rPr>
          <w:rFonts w:ascii="Cambria" w:hAnsi="Cambria"/>
          <w:noProof/>
          <w:sz w:val="24"/>
        </w:rPr>
        <w:t xml:space="preserve"> Characterisation of genome-wide association epistasis signals for serum uric acid in human population isolates.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6,</w:t>
      </w:r>
      <w:r w:rsidRPr="004E1D34">
        <w:rPr>
          <w:rFonts w:ascii="Cambria" w:hAnsi="Cambria"/>
          <w:noProof/>
          <w:sz w:val="24"/>
        </w:rPr>
        <w:t xml:space="preserve"> e23836 (2011).</w:t>
      </w:r>
    </w:p>
    <w:p w14:paraId="34AD91E2"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8.</w:t>
      </w:r>
      <w:r w:rsidRPr="004E1D34">
        <w:rPr>
          <w:rFonts w:ascii="Cambria" w:hAnsi="Cambria"/>
          <w:noProof/>
          <w:sz w:val="24"/>
        </w:rPr>
        <w:tab/>
        <w:t xml:space="preserve">Combarros, O., Cortina-Borja, M., Smith, A. D. &amp; Lehmann, D. J. Epistasis in sporadic Alzheimer’s disease. </w:t>
      </w:r>
      <w:r w:rsidRPr="004E1D34">
        <w:rPr>
          <w:rFonts w:ascii="Cambria" w:hAnsi="Cambria"/>
          <w:i/>
          <w:iCs/>
          <w:noProof/>
          <w:sz w:val="24"/>
        </w:rPr>
        <w:t>Neurobiol. Aging</w:t>
      </w:r>
      <w:r w:rsidRPr="004E1D34">
        <w:rPr>
          <w:rFonts w:ascii="Cambria" w:hAnsi="Cambria"/>
          <w:noProof/>
          <w:sz w:val="24"/>
        </w:rPr>
        <w:t xml:space="preserve"> </w:t>
      </w:r>
      <w:r w:rsidRPr="004E1D34">
        <w:rPr>
          <w:rFonts w:ascii="Cambria" w:hAnsi="Cambria"/>
          <w:b/>
          <w:bCs/>
          <w:noProof/>
          <w:sz w:val="24"/>
        </w:rPr>
        <w:t>In Press, ,</w:t>
      </w:r>
    </w:p>
    <w:p w14:paraId="01C24D44"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9.</w:t>
      </w:r>
      <w:r w:rsidRPr="004E1D34">
        <w:rPr>
          <w:rFonts w:ascii="Cambria" w:hAnsi="Cambria"/>
          <w:noProof/>
          <w:sz w:val="24"/>
        </w:rPr>
        <w:tab/>
        <w:t xml:space="preserve">Kolsch, H. </w:t>
      </w:r>
      <w:r w:rsidRPr="004E1D34">
        <w:rPr>
          <w:rFonts w:ascii="Cambria" w:hAnsi="Cambria"/>
          <w:i/>
          <w:iCs/>
          <w:noProof/>
          <w:sz w:val="24"/>
        </w:rPr>
        <w:t>et al.</w:t>
      </w:r>
      <w:r w:rsidRPr="004E1D34">
        <w:rPr>
          <w:rFonts w:ascii="Cambria" w:hAnsi="Cambria"/>
          <w:noProof/>
          <w:sz w:val="24"/>
        </w:rPr>
        <w:t xml:space="preserve"> Interaction of insulin and PPAR-alpha genes in Alzheimer’s disease: the Epistasis Project. </w:t>
      </w:r>
      <w:r w:rsidRPr="004E1D34">
        <w:rPr>
          <w:rFonts w:ascii="Cambria" w:hAnsi="Cambria"/>
          <w:i/>
          <w:iCs/>
          <w:noProof/>
          <w:sz w:val="24"/>
        </w:rPr>
        <w:t>J Neural Transm</w:t>
      </w:r>
      <w:r w:rsidRPr="004E1D34">
        <w:rPr>
          <w:rFonts w:ascii="Cambria" w:hAnsi="Cambria"/>
          <w:noProof/>
          <w:sz w:val="24"/>
        </w:rPr>
        <w:t xml:space="preserve"> </w:t>
      </w:r>
      <w:r w:rsidRPr="004E1D34">
        <w:rPr>
          <w:rFonts w:ascii="Cambria" w:hAnsi="Cambria"/>
          <w:b/>
          <w:bCs/>
          <w:noProof/>
          <w:sz w:val="24"/>
        </w:rPr>
        <w:t>119,</w:t>
      </w:r>
      <w:r w:rsidRPr="004E1D34">
        <w:rPr>
          <w:rFonts w:ascii="Cambria" w:hAnsi="Cambria"/>
          <w:noProof/>
          <w:sz w:val="24"/>
        </w:rPr>
        <w:t xml:space="preserve"> 473–479 (2012).</w:t>
      </w:r>
    </w:p>
    <w:p w14:paraId="161AEC18"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10.</w:t>
      </w:r>
      <w:r w:rsidRPr="004E1D34">
        <w:rPr>
          <w:rFonts w:ascii="Cambria" w:hAnsi="Cambria"/>
          <w:noProof/>
          <w:sz w:val="24"/>
        </w:rPr>
        <w:tab/>
        <w:t xml:space="preserve">Bullock, J. M. </w:t>
      </w:r>
      <w:r w:rsidRPr="004E1D34">
        <w:rPr>
          <w:rFonts w:ascii="Cambria" w:hAnsi="Cambria"/>
          <w:i/>
          <w:iCs/>
          <w:noProof/>
          <w:sz w:val="24"/>
        </w:rPr>
        <w:t>et al.</w:t>
      </w:r>
      <w:r w:rsidRPr="004E1D34">
        <w:rPr>
          <w:rFonts w:ascii="Cambria" w:hAnsi="Cambria"/>
          <w:noProof/>
          <w:sz w:val="24"/>
        </w:rPr>
        <w:t xml:space="preserve"> Discovery by the Epistasis Project of an epistatic interaction between the GSTM3 gene and the HHEX/IDE/KIF11 locus in the risk of Alzheimer’s disease. </w:t>
      </w:r>
      <w:r w:rsidRPr="004E1D34">
        <w:rPr>
          <w:rFonts w:ascii="Cambria" w:hAnsi="Cambria"/>
          <w:i/>
          <w:iCs/>
          <w:noProof/>
          <w:sz w:val="24"/>
        </w:rPr>
        <w:t>Neurobiol Aging</w:t>
      </w:r>
      <w:r w:rsidRPr="004E1D34">
        <w:rPr>
          <w:rFonts w:ascii="Cambria" w:hAnsi="Cambria"/>
          <w:noProof/>
          <w:sz w:val="24"/>
        </w:rPr>
        <w:t xml:space="preserve"> </w:t>
      </w:r>
      <w:r w:rsidRPr="004E1D34">
        <w:rPr>
          <w:rFonts w:ascii="Cambria" w:hAnsi="Cambria"/>
          <w:b/>
          <w:bCs/>
          <w:noProof/>
          <w:sz w:val="24"/>
        </w:rPr>
        <w:t>34,</w:t>
      </w:r>
      <w:r w:rsidRPr="004E1D34">
        <w:rPr>
          <w:rFonts w:ascii="Cambria" w:hAnsi="Cambria"/>
          <w:noProof/>
          <w:sz w:val="24"/>
        </w:rPr>
        <w:t xml:space="preserve"> 1309 e1–7 (2013).</w:t>
      </w:r>
    </w:p>
    <w:p w14:paraId="21E005A7"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11.</w:t>
      </w:r>
      <w:r w:rsidRPr="004E1D34">
        <w:rPr>
          <w:rFonts w:ascii="Cambria" w:hAnsi="Cambria"/>
          <w:noProof/>
          <w:sz w:val="24"/>
        </w:rPr>
        <w:tab/>
        <w:t xml:space="preserve">Combarros, O. </w:t>
      </w:r>
      <w:r w:rsidRPr="004E1D34">
        <w:rPr>
          <w:rFonts w:ascii="Cambria" w:hAnsi="Cambria"/>
          <w:i/>
          <w:iCs/>
          <w:noProof/>
          <w:sz w:val="24"/>
        </w:rPr>
        <w:t>et al.</w:t>
      </w:r>
      <w:r w:rsidRPr="004E1D34">
        <w:rPr>
          <w:rFonts w:ascii="Cambria" w:hAnsi="Cambria"/>
          <w:noProof/>
          <w:sz w:val="24"/>
        </w:rPr>
        <w:t xml:space="preserve"> The dopamine beta-hydroxylase -1021C/T polymorphism is associated with the risk of Alzheimer’s disease in the Epistasis Project. </w:t>
      </w:r>
      <w:r w:rsidRPr="004E1D34">
        <w:rPr>
          <w:rFonts w:ascii="Cambria" w:hAnsi="Cambria"/>
          <w:i/>
          <w:iCs/>
          <w:noProof/>
          <w:sz w:val="24"/>
        </w:rPr>
        <w:t>BMC Med Genet</w:t>
      </w:r>
      <w:r w:rsidRPr="004E1D34">
        <w:rPr>
          <w:rFonts w:ascii="Cambria" w:hAnsi="Cambria"/>
          <w:noProof/>
          <w:sz w:val="24"/>
        </w:rPr>
        <w:t xml:space="preserve"> </w:t>
      </w:r>
      <w:r w:rsidRPr="004E1D34">
        <w:rPr>
          <w:rFonts w:ascii="Cambria" w:hAnsi="Cambria"/>
          <w:b/>
          <w:bCs/>
          <w:noProof/>
          <w:sz w:val="24"/>
        </w:rPr>
        <w:t>11,</w:t>
      </w:r>
      <w:r w:rsidRPr="004E1D34">
        <w:rPr>
          <w:rFonts w:ascii="Cambria" w:hAnsi="Cambria"/>
          <w:noProof/>
          <w:sz w:val="24"/>
        </w:rPr>
        <w:t xml:space="preserve"> 162 (2010).</w:t>
      </w:r>
    </w:p>
    <w:p w14:paraId="2A45933D"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12.</w:t>
      </w:r>
      <w:r w:rsidRPr="004E1D34">
        <w:rPr>
          <w:rFonts w:ascii="Cambria" w:hAnsi="Cambria"/>
          <w:noProof/>
          <w:sz w:val="24"/>
        </w:rPr>
        <w:tab/>
        <w:t xml:space="preserve">Combarros, O. </w:t>
      </w:r>
      <w:r w:rsidRPr="004E1D34">
        <w:rPr>
          <w:rFonts w:ascii="Cambria" w:hAnsi="Cambria"/>
          <w:i/>
          <w:iCs/>
          <w:noProof/>
          <w:sz w:val="24"/>
        </w:rPr>
        <w:t>et al.</w:t>
      </w:r>
      <w:r w:rsidRPr="004E1D34">
        <w:rPr>
          <w:rFonts w:ascii="Cambria" w:hAnsi="Cambria"/>
          <w:noProof/>
          <w:sz w:val="24"/>
        </w:rPr>
        <w:t xml:space="preserve"> Replication by the Epistasis Project of the interaction between the genes for IL-6 and IL-10 in the risk of Alzheimer’s disease. </w:t>
      </w:r>
      <w:r w:rsidRPr="004E1D34">
        <w:rPr>
          <w:rFonts w:ascii="Cambria" w:hAnsi="Cambria"/>
          <w:i/>
          <w:iCs/>
          <w:noProof/>
          <w:sz w:val="24"/>
        </w:rPr>
        <w:t>J. Neuroinflammation</w:t>
      </w:r>
      <w:r w:rsidRPr="004E1D34">
        <w:rPr>
          <w:rFonts w:ascii="Cambria" w:hAnsi="Cambria"/>
          <w:noProof/>
          <w:sz w:val="24"/>
        </w:rPr>
        <w:t xml:space="preserve"> </w:t>
      </w:r>
      <w:r w:rsidRPr="004E1D34">
        <w:rPr>
          <w:rFonts w:ascii="Cambria" w:hAnsi="Cambria"/>
          <w:b/>
          <w:bCs/>
          <w:noProof/>
          <w:sz w:val="24"/>
        </w:rPr>
        <w:t>6,</w:t>
      </w:r>
      <w:r w:rsidRPr="004E1D34">
        <w:rPr>
          <w:rFonts w:ascii="Cambria" w:hAnsi="Cambria"/>
          <w:noProof/>
          <w:sz w:val="24"/>
        </w:rPr>
        <w:t xml:space="preserve"> 22 (2009).</w:t>
      </w:r>
    </w:p>
    <w:p w14:paraId="4A2E4E25"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13.</w:t>
      </w:r>
      <w:r w:rsidRPr="004E1D34">
        <w:rPr>
          <w:rFonts w:ascii="Cambria" w:hAnsi="Cambria"/>
          <w:noProof/>
          <w:sz w:val="24"/>
        </w:rPr>
        <w:tab/>
        <w:t xml:space="preserve">Rhinn, H. </w:t>
      </w:r>
      <w:r w:rsidRPr="004E1D34">
        <w:rPr>
          <w:rFonts w:ascii="Cambria" w:hAnsi="Cambria"/>
          <w:i/>
          <w:iCs/>
          <w:noProof/>
          <w:sz w:val="24"/>
        </w:rPr>
        <w:t>et al.</w:t>
      </w:r>
      <w:r w:rsidRPr="004E1D34">
        <w:rPr>
          <w:rFonts w:ascii="Cambria" w:hAnsi="Cambria"/>
          <w:noProof/>
          <w:sz w:val="24"/>
        </w:rPr>
        <w:t xml:space="preserve"> Integrative genomics identifies APOE ε4 effectors in Alzheimer’s disease. </w:t>
      </w:r>
      <w:r w:rsidRPr="004E1D34">
        <w:rPr>
          <w:rFonts w:ascii="Cambria" w:hAnsi="Cambria"/>
          <w:i/>
          <w:iCs/>
          <w:noProof/>
          <w:sz w:val="24"/>
        </w:rPr>
        <w:t>Nature</w:t>
      </w:r>
      <w:r w:rsidRPr="004E1D34">
        <w:rPr>
          <w:rFonts w:ascii="Cambria" w:hAnsi="Cambria"/>
          <w:noProof/>
          <w:sz w:val="24"/>
        </w:rPr>
        <w:t xml:space="preserve"> </w:t>
      </w:r>
      <w:r w:rsidRPr="004E1D34">
        <w:rPr>
          <w:rFonts w:ascii="Cambria" w:hAnsi="Cambria"/>
          <w:b/>
          <w:bCs/>
          <w:noProof/>
          <w:sz w:val="24"/>
        </w:rPr>
        <w:t>500,</w:t>
      </w:r>
      <w:r w:rsidRPr="004E1D34">
        <w:rPr>
          <w:rFonts w:ascii="Cambria" w:hAnsi="Cambria"/>
          <w:noProof/>
          <w:sz w:val="24"/>
        </w:rPr>
        <w:t xml:space="preserve"> 45–50 (2013).</w:t>
      </w:r>
    </w:p>
    <w:p w14:paraId="6D78CA1D"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14.</w:t>
      </w:r>
      <w:r w:rsidRPr="004E1D34">
        <w:rPr>
          <w:rFonts w:ascii="Cambria" w:hAnsi="Cambria"/>
          <w:noProof/>
          <w:sz w:val="24"/>
        </w:rPr>
        <w:tab/>
        <w:t xml:space="preserve">Strange, A. </w:t>
      </w:r>
      <w:r w:rsidRPr="004E1D34">
        <w:rPr>
          <w:rFonts w:ascii="Cambria" w:hAnsi="Cambria"/>
          <w:i/>
          <w:iCs/>
          <w:noProof/>
          <w:sz w:val="24"/>
        </w:rPr>
        <w:t>et al.</w:t>
      </w:r>
      <w:r w:rsidRPr="004E1D34">
        <w:rPr>
          <w:rFonts w:ascii="Cambria" w:hAnsi="Cambria"/>
          <w:noProof/>
          <w:sz w:val="24"/>
        </w:rPr>
        <w:t xml:space="preserve"> A genome-wide association study identifies new psoriasis susceptibility loci and an interaction between HLA-C and ERAP1. </w:t>
      </w:r>
      <w:r w:rsidRPr="004E1D34">
        <w:rPr>
          <w:rFonts w:ascii="Cambria" w:hAnsi="Cambria"/>
          <w:i/>
          <w:iCs/>
          <w:noProof/>
          <w:sz w:val="24"/>
        </w:rPr>
        <w:t>Nat. Genet.</w:t>
      </w:r>
      <w:r w:rsidRPr="004E1D34">
        <w:rPr>
          <w:rFonts w:ascii="Cambria" w:hAnsi="Cambria"/>
          <w:noProof/>
          <w:sz w:val="24"/>
        </w:rPr>
        <w:t xml:space="preserve"> </w:t>
      </w:r>
      <w:r w:rsidRPr="004E1D34">
        <w:rPr>
          <w:rFonts w:ascii="Cambria" w:hAnsi="Cambria"/>
          <w:b/>
          <w:bCs/>
          <w:noProof/>
          <w:sz w:val="24"/>
        </w:rPr>
        <w:t>42,</w:t>
      </w:r>
      <w:r w:rsidRPr="004E1D34">
        <w:rPr>
          <w:rFonts w:ascii="Cambria" w:hAnsi="Cambria"/>
          <w:noProof/>
          <w:sz w:val="24"/>
        </w:rPr>
        <w:t xml:space="preserve"> 985–90 (2010).</w:t>
      </w:r>
    </w:p>
    <w:p w14:paraId="4DEEB13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15.</w:t>
      </w:r>
      <w:r w:rsidRPr="004E1D34">
        <w:rPr>
          <w:rFonts w:ascii="Cambria" w:hAnsi="Cambria"/>
          <w:noProof/>
          <w:sz w:val="24"/>
        </w:rPr>
        <w:tab/>
        <w:t xml:space="preserve">Evans, D. M. </w:t>
      </w:r>
      <w:r w:rsidRPr="004E1D34">
        <w:rPr>
          <w:rFonts w:ascii="Cambria" w:hAnsi="Cambria"/>
          <w:i/>
          <w:iCs/>
          <w:noProof/>
          <w:sz w:val="24"/>
        </w:rPr>
        <w:t>et al.</w:t>
      </w:r>
      <w:r w:rsidRPr="004E1D34">
        <w:rPr>
          <w:rFonts w:ascii="Cambria" w:hAnsi="Cambria"/>
          <w:noProof/>
          <w:sz w:val="24"/>
        </w:rPr>
        <w:t xml:space="preserve"> Interaction between ERAP1 and HLA-B27 in ankylosing spondylitis implicates peptide handling in the mechanism for HLA-B27 in disease susceptibility. </w:t>
      </w:r>
      <w:r w:rsidRPr="004E1D34">
        <w:rPr>
          <w:rFonts w:ascii="Cambria" w:hAnsi="Cambria"/>
          <w:i/>
          <w:iCs/>
          <w:noProof/>
          <w:sz w:val="24"/>
        </w:rPr>
        <w:t>Nat. Genet.</w:t>
      </w:r>
      <w:r w:rsidRPr="004E1D34">
        <w:rPr>
          <w:rFonts w:ascii="Cambria" w:hAnsi="Cambria"/>
          <w:noProof/>
          <w:sz w:val="24"/>
        </w:rPr>
        <w:t xml:space="preserve"> </w:t>
      </w:r>
      <w:r w:rsidRPr="004E1D34">
        <w:rPr>
          <w:rFonts w:ascii="Cambria" w:hAnsi="Cambria"/>
          <w:b/>
          <w:bCs/>
          <w:noProof/>
          <w:sz w:val="24"/>
        </w:rPr>
        <w:t>43,</w:t>
      </w:r>
      <w:r w:rsidRPr="004E1D34">
        <w:rPr>
          <w:rFonts w:ascii="Cambria" w:hAnsi="Cambria"/>
          <w:noProof/>
          <w:sz w:val="24"/>
        </w:rPr>
        <w:t xml:space="preserve"> (2011).</w:t>
      </w:r>
    </w:p>
    <w:p w14:paraId="5911A6C1"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16.</w:t>
      </w:r>
      <w:r w:rsidRPr="004E1D34">
        <w:rPr>
          <w:rFonts w:ascii="Cambria" w:hAnsi="Cambria"/>
          <w:noProof/>
          <w:sz w:val="24"/>
        </w:rPr>
        <w:tab/>
        <w:t xml:space="preserve">Dempster, E. R. &amp; Lerner, I. M. Heritability of Threshold Characters. </w:t>
      </w:r>
      <w:r w:rsidRPr="004E1D34">
        <w:rPr>
          <w:rFonts w:ascii="Cambria" w:hAnsi="Cambria"/>
          <w:i/>
          <w:iCs/>
          <w:noProof/>
          <w:sz w:val="24"/>
        </w:rPr>
        <w:t>Genetics</w:t>
      </w:r>
      <w:r w:rsidRPr="004E1D34">
        <w:rPr>
          <w:rFonts w:ascii="Cambria" w:hAnsi="Cambria"/>
          <w:noProof/>
          <w:sz w:val="24"/>
        </w:rPr>
        <w:t xml:space="preserve"> </w:t>
      </w:r>
      <w:r w:rsidRPr="004E1D34">
        <w:rPr>
          <w:rFonts w:ascii="Cambria" w:hAnsi="Cambria"/>
          <w:b/>
          <w:bCs/>
          <w:noProof/>
          <w:sz w:val="24"/>
        </w:rPr>
        <w:t>35,</w:t>
      </w:r>
      <w:r w:rsidRPr="004E1D34">
        <w:rPr>
          <w:rFonts w:ascii="Cambria" w:hAnsi="Cambria"/>
          <w:noProof/>
          <w:sz w:val="24"/>
        </w:rPr>
        <w:t xml:space="preserve"> 212–36 (1950).</w:t>
      </w:r>
    </w:p>
    <w:p w14:paraId="15372C28"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17.</w:t>
      </w:r>
      <w:r w:rsidRPr="004E1D34">
        <w:rPr>
          <w:rFonts w:ascii="Cambria" w:hAnsi="Cambria"/>
          <w:noProof/>
          <w:sz w:val="24"/>
        </w:rPr>
        <w:tab/>
        <w:t xml:space="preserve">Becker, J., Wendland, J. R., Haenisch, B., Nothen, M. M. &amp; Schumacher, J. A systematic eQTL study of cis-trans epistasis in 210 HapMap individuals. </w:t>
      </w:r>
      <w:r w:rsidRPr="004E1D34">
        <w:rPr>
          <w:rFonts w:ascii="Cambria" w:hAnsi="Cambria"/>
          <w:i/>
          <w:iCs/>
          <w:noProof/>
          <w:sz w:val="24"/>
        </w:rPr>
        <w:t>Eur J Hum Genet</w:t>
      </w:r>
      <w:r w:rsidRPr="004E1D34">
        <w:rPr>
          <w:rFonts w:ascii="Cambria" w:hAnsi="Cambria"/>
          <w:noProof/>
          <w:sz w:val="24"/>
        </w:rPr>
        <w:t xml:space="preserve"> </w:t>
      </w:r>
      <w:r w:rsidRPr="004E1D34">
        <w:rPr>
          <w:rFonts w:ascii="Cambria" w:hAnsi="Cambria"/>
          <w:b/>
          <w:bCs/>
          <w:noProof/>
          <w:sz w:val="24"/>
        </w:rPr>
        <w:t>20,</w:t>
      </w:r>
      <w:r w:rsidRPr="004E1D34">
        <w:rPr>
          <w:rFonts w:ascii="Cambria" w:hAnsi="Cambria"/>
          <w:noProof/>
          <w:sz w:val="24"/>
        </w:rPr>
        <w:t xml:space="preserve"> 97–101 (2012).</w:t>
      </w:r>
    </w:p>
    <w:p w14:paraId="00A5BF8B"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18.</w:t>
      </w:r>
      <w:r w:rsidRPr="004E1D34">
        <w:rPr>
          <w:rFonts w:ascii="Cambria" w:hAnsi="Cambria"/>
          <w:noProof/>
          <w:sz w:val="24"/>
        </w:rPr>
        <w:tab/>
        <w:t xml:space="preserve">Schadt, E. </w:t>
      </w:r>
      <w:r w:rsidRPr="004E1D34">
        <w:rPr>
          <w:rFonts w:ascii="Cambria" w:hAnsi="Cambria"/>
          <w:i/>
          <w:iCs/>
          <w:noProof/>
          <w:sz w:val="24"/>
        </w:rPr>
        <w:t>et al.</w:t>
      </w:r>
      <w:r w:rsidRPr="004E1D34">
        <w:rPr>
          <w:rFonts w:ascii="Cambria" w:hAnsi="Cambria"/>
          <w:noProof/>
          <w:sz w:val="24"/>
        </w:rPr>
        <w:t xml:space="preserve"> Genetics of gene expression surveyed in maize, mouse and man. </w:t>
      </w:r>
      <w:r w:rsidRPr="004E1D34">
        <w:rPr>
          <w:rFonts w:ascii="Cambria" w:hAnsi="Cambria"/>
          <w:i/>
          <w:iCs/>
          <w:noProof/>
          <w:sz w:val="24"/>
        </w:rPr>
        <w:t>Nature</w:t>
      </w:r>
      <w:r w:rsidRPr="004E1D34">
        <w:rPr>
          <w:rFonts w:ascii="Cambria" w:hAnsi="Cambria"/>
          <w:noProof/>
          <w:sz w:val="24"/>
        </w:rPr>
        <w:t xml:space="preserve"> </w:t>
      </w:r>
      <w:r w:rsidRPr="004E1D34">
        <w:rPr>
          <w:rFonts w:ascii="Cambria" w:hAnsi="Cambria"/>
          <w:b/>
          <w:bCs/>
          <w:noProof/>
          <w:sz w:val="24"/>
        </w:rPr>
        <w:t>422,</w:t>
      </w:r>
      <w:r w:rsidRPr="004E1D34">
        <w:rPr>
          <w:rFonts w:ascii="Cambria" w:hAnsi="Cambria"/>
          <w:noProof/>
          <w:sz w:val="24"/>
        </w:rPr>
        <w:t xml:space="preserve"> 297–302 (2003).</w:t>
      </w:r>
    </w:p>
    <w:p w14:paraId="71B1F622"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19.</w:t>
      </w:r>
      <w:r w:rsidRPr="004E1D34">
        <w:rPr>
          <w:rFonts w:ascii="Cambria" w:hAnsi="Cambria"/>
          <w:noProof/>
          <w:sz w:val="24"/>
        </w:rPr>
        <w:tab/>
        <w:t xml:space="preserve">Verhoeven, K. J. F., Casella, G. &amp; McIntyre, L. M. Epistasis: obstacle or advantage for mapping complex traits?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5,</w:t>
      </w:r>
      <w:r w:rsidRPr="004E1D34">
        <w:rPr>
          <w:rFonts w:ascii="Cambria" w:hAnsi="Cambria"/>
          <w:noProof/>
          <w:sz w:val="24"/>
        </w:rPr>
        <w:t xml:space="preserve"> e12264 (2010).</w:t>
      </w:r>
    </w:p>
    <w:p w14:paraId="533C70DC"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20.</w:t>
      </w:r>
      <w:r w:rsidRPr="004E1D34">
        <w:rPr>
          <w:rFonts w:ascii="Cambria" w:hAnsi="Cambria"/>
          <w:noProof/>
          <w:sz w:val="24"/>
        </w:rPr>
        <w:tab/>
        <w:t xml:space="preserve">Hemani, G., Knott, S. &amp; Haley, C. An Evolutionary Perspective on Epistasis and the Missing Heritability. </w:t>
      </w:r>
      <w:r w:rsidRPr="004E1D34">
        <w:rPr>
          <w:rFonts w:ascii="Cambria" w:hAnsi="Cambria"/>
          <w:i/>
          <w:iCs/>
          <w:noProof/>
          <w:sz w:val="24"/>
        </w:rPr>
        <w:t>PLoS Genet.</w:t>
      </w:r>
      <w:r w:rsidRPr="004E1D34">
        <w:rPr>
          <w:rFonts w:ascii="Cambria" w:hAnsi="Cambria"/>
          <w:noProof/>
          <w:sz w:val="24"/>
        </w:rPr>
        <w:t xml:space="preserve"> </w:t>
      </w:r>
      <w:r w:rsidRPr="004E1D34">
        <w:rPr>
          <w:rFonts w:ascii="Cambria" w:hAnsi="Cambria"/>
          <w:b/>
          <w:bCs/>
          <w:noProof/>
          <w:sz w:val="24"/>
        </w:rPr>
        <w:t>9,</w:t>
      </w:r>
      <w:r w:rsidRPr="004E1D34">
        <w:rPr>
          <w:rFonts w:ascii="Cambria" w:hAnsi="Cambria"/>
          <w:noProof/>
          <w:sz w:val="24"/>
        </w:rPr>
        <w:t xml:space="preserve"> e1003295 (2013).</w:t>
      </w:r>
    </w:p>
    <w:p w14:paraId="50C28CB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21.</w:t>
      </w:r>
      <w:r w:rsidRPr="004E1D34">
        <w:rPr>
          <w:rFonts w:ascii="Cambria" w:hAnsi="Cambria"/>
          <w:noProof/>
          <w:sz w:val="24"/>
        </w:rPr>
        <w:tab/>
        <w:t xml:space="preserve">Wei, W., Gyenesei, A., Semple, C. A. M. &amp; Haley, C. S. Properties of Local Interactions and Their Potential Value in Complementing Genome-Wide Association Studies.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8,</w:t>
      </w:r>
      <w:r w:rsidRPr="004E1D34">
        <w:rPr>
          <w:rFonts w:ascii="Cambria" w:hAnsi="Cambria"/>
          <w:noProof/>
          <w:sz w:val="24"/>
        </w:rPr>
        <w:t xml:space="preserve"> e71203 (2013).</w:t>
      </w:r>
    </w:p>
    <w:p w14:paraId="529C94A1"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22.</w:t>
      </w:r>
      <w:r w:rsidRPr="004E1D34">
        <w:rPr>
          <w:rFonts w:ascii="Cambria" w:hAnsi="Cambria"/>
          <w:noProof/>
          <w:sz w:val="24"/>
        </w:rPr>
        <w:tab/>
        <w:t xml:space="preserve">Hill, W. G., Goddard, M. E. &amp; Visscher, P. M. Data and Theory Point to Mainly Additive Genetic Variance for Complex Traits. </w:t>
      </w:r>
      <w:r w:rsidRPr="004E1D34">
        <w:rPr>
          <w:rFonts w:ascii="Cambria" w:hAnsi="Cambria"/>
          <w:i/>
          <w:iCs/>
          <w:noProof/>
          <w:sz w:val="24"/>
        </w:rPr>
        <w:t>PLoS Genet.</w:t>
      </w:r>
      <w:r w:rsidRPr="004E1D34">
        <w:rPr>
          <w:rFonts w:ascii="Cambria" w:hAnsi="Cambria"/>
          <w:noProof/>
          <w:sz w:val="24"/>
        </w:rPr>
        <w:t xml:space="preserve"> </w:t>
      </w:r>
      <w:r w:rsidRPr="004E1D34">
        <w:rPr>
          <w:rFonts w:ascii="Cambria" w:hAnsi="Cambria"/>
          <w:b/>
          <w:bCs/>
          <w:noProof/>
          <w:sz w:val="24"/>
        </w:rPr>
        <w:t>4,</w:t>
      </w:r>
      <w:r w:rsidRPr="004E1D34">
        <w:rPr>
          <w:rFonts w:ascii="Cambria" w:hAnsi="Cambria"/>
          <w:noProof/>
          <w:sz w:val="24"/>
        </w:rPr>
        <w:t xml:space="preserve"> (2008).</w:t>
      </w:r>
    </w:p>
    <w:p w14:paraId="5BFECA04"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23.</w:t>
      </w:r>
      <w:r w:rsidRPr="004E1D34">
        <w:rPr>
          <w:rFonts w:ascii="Cambria" w:hAnsi="Cambria"/>
          <w:noProof/>
          <w:sz w:val="24"/>
        </w:rPr>
        <w:tab/>
        <w:t xml:space="preserve">Gjuvsland, a B., Vik, J. O., Woolliams, J. a &amp; Omholt, S. W. Order-preserving principles underlying genotype-phenotype maps ensure high additive proportions of genetic variance. </w:t>
      </w:r>
      <w:r w:rsidRPr="004E1D34">
        <w:rPr>
          <w:rFonts w:ascii="Cambria" w:hAnsi="Cambria"/>
          <w:i/>
          <w:iCs/>
          <w:noProof/>
          <w:sz w:val="24"/>
        </w:rPr>
        <w:t>J. Evol. Biol.</w:t>
      </w:r>
      <w:r w:rsidRPr="004E1D34">
        <w:rPr>
          <w:rFonts w:ascii="Cambria" w:hAnsi="Cambria"/>
          <w:noProof/>
          <w:sz w:val="24"/>
        </w:rPr>
        <w:t xml:space="preserve"> </w:t>
      </w:r>
      <w:r w:rsidRPr="004E1D34">
        <w:rPr>
          <w:rFonts w:ascii="Cambria" w:hAnsi="Cambria"/>
          <w:b/>
          <w:bCs/>
          <w:noProof/>
          <w:sz w:val="24"/>
        </w:rPr>
        <w:t>24,</w:t>
      </w:r>
      <w:r w:rsidRPr="004E1D34">
        <w:rPr>
          <w:rFonts w:ascii="Cambria" w:hAnsi="Cambria"/>
          <w:noProof/>
          <w:sz w:val="24"/>
        </w:rPr>
        <w:t xml:space="preserve"> 2269–79 (2011).</w:t>
      </w:r>
    </w:p>
    <w:p w14:paraId="5898DA0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24.</w:t>
      </w:r>
      <w:r w:rsidRPr="004E1D34">
        <w:rPr>
          <w:rFonts w:ascii="Cambria" w:hAnsi="Cambria"/>
          <w:noProof/>
          <w:sz w:val="24"/>
        </w:rPr>
        <w:tab/>
        <w:t xml:space="preserve">Falconer, D. S. &amp; Mackay, T. F. C. </w:t>
      </w:r>
      <w:r w:rsidRPr="004E1D34">
        <w:rPr>
          <w:rFonts w:ascii="Cambria" w:hAnsi="Cambria"/>
          <w:i/>
          <w:iCs/>
          <w:noProof/>
          <w:sz w:val="24"/>
        </w:rPr>
        <w:t>Introduction to quantitative genetics</w:t>
      </w:r>
      <w:r w:rsidRPr="004E1D34">
        <w:rPr>
          <w:rFonts w:ascii="Cambria" w:hAnsi="Cambria"/>
          <w:noProof/>
          <w:sz w:val="24"/>
        </w:rPr>
        <w:t>. (Longman, 1996).</w:t>
      </w:r>
    </w:p>
    <w:p w14:paraId="7AF087C4"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25.</w:t>
      </w:r>
      <w:r w:rsidRPr="004E1D34">
        <w:rPr>
          <w:rFonts w:ascii="Cambria" w:hAnsi="Cambria"/>
          <w:noProof/>
          <w:sz w:val="24"/>
        </w:rPr>
        <w:tab/>
        <w:t xml:space="preserve">Zuk, O., Hechter, E., Sunyaev, S. R. &amp; Lander, E. S. The mystery of missing heritability: Genetic interactions create phantom heritability. </w:t>
      </w:r>
      <w:r w:rsidRPr="004E1D34">
        <w:rPr>
          <w:rFonts w:ascii="Cambria" w:hAnsi="Cambria"/>
          <w:i/>
          <w:iCs/>
          <w:noProof/>
          <w:sz w:val="24"/>
        </w:rPr>
        <w:t>Proc. Natl. Acad. Sci.</w:t>
      </w:r>
      <w:r w:rsidRPr="004E1D34">
        <w:rPr>
          <w:rFonts w:ascii="Cambria" w:hAnsi="Cambria"/>
          <w:noProof/>
          <w:sz w:val="24"/>
        </w:rPr>
        <w:t xml:space="preserve"> (2012). doi:10.1073/pnas.1119675109</w:t>
      </w:r>
    </w:p>
    <w:p w14:paraId="789572DF"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26.</w:t>
      </w:r>
      <w:r w:rsidRPr="004E1D34">
        <w:rPr>
          <w:rFonts w:ascii="Cambria" w:hAnsi="Cambria"/>
          <w:noProof/>
          <w:sz w:val="24"/>
        </w:rPr>
        <w:tab/>
        <w:t xml:space="preserve">Stringer, S., Derks, E., Kahn, R., Hill, W. &amp; Wray, N. Assumptions and Properties of Limiting Pathway Models for Analysis of Epistasis in Complex Traits.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8,</w:t>
      </w:r>
      <w:r w:rsidRPr="004E1D34">
        <w:rPr>
          <w:rFonts w:ascii="Cambria" w:hAnsi="Cambria"/>
          <w:noProof/>
          <w:sz w:val="24"/>
        </w:rPr>
        <w:t xml:space="preserve"> 1–9 (2013).</w:t>
      </w:r>
    </w:p>
    <w:p w14:paraId="1864BAD8"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27.</w:t>
      </w:r>
      <w:r w:rsidRPr="004E1D34">
        <w:rPr>
          <w:rFonts w:ascii="Cambria" w:hAnsi="Cambria"/>
          <w:noProof/>
          <w:sz w:val="24"/>
        </w:rPr>
        <w:tab/>
        <w:t xml:space="preserve">Evans, D. M., Gillespie, N. a &amp; Martin, N. G. Biometrical genetics. </w:t>
      </w:r>
      <w:r w:rsidRPr="004E1D34">
        <w:rPr>
          <w:rFonts w:ascii="Cambria" w:hAnsi="Cambria"/>
          <w:i/>
          <w:iCs/>
          <w:noProof/>
          <w:sz w:val="24"/>
        </w:rPr>
        <w:t>Biol. Psychol.</w:t>
      </w:r>
      <w:r w:rsidRPr="004E1D34">
        <w:rPr>
          <w:rFonts w:ascii="Cambria" w:hAnsi="Cambria"/>
          <w:noProof/>
          <w:sz w:val="24"/>
        </w:rPr>
        <w:t xml:space="preserve"> </w:t>
      </w:r>
      <w:r w:rsidRPr="004E1D34">
        <w:rPr>
          <w:rFonts w:ascii="Cambria" w:hAnsi="Cambria"/>
          <w:b/>
          <w:bCs/>
          <w:noProof/>
          <w:sz w:val="24"/>
        </w:rPr>
        <w:t>61,</w:t>
      </w:r>
      <w:r w:rsidRPr="004E1D34">
        <w:rPr>
          <w:rFonts w:ascii="Cambria" w:hAnsi="Cambria"/>
          <w:noProof/>
          <w:sz w:val="24"/>
        </w:rPr>
        <w:t xml:space="preserve"> 33–51 (2002).</w:t>
      </w:r>
    </w:p>
    <w:p w14:paraId="6B609E3F"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28.</w:t>
      </w:r>
      <w:r w:rsidRPr="004E1D34">
        <w:rPr>
          <w:rFonts w:ascii="Cambria" w:hAnsi="Cambria"/>
          <w:noProof/>
          <w:sz w:val="24"/>
        </w:rPr>
        <w:tab/>
        <w:t xml:space="preserve">Silventoinen, K. </w:t>
      </w:r>
      <w:r w:rsidRPr="004E1D34">
        <w:rPr>
          <w:rFonts w:ascii="Cambria" w:hAnsi="Cambria"/>
          <w:i/>
          <w:iCs/>
          <w:noProof/>
          <w:sz w:val="24"/>
        </w:rPr>
        <w:t>et al.</w:t>
      </w:r>
      <w:r w:rsidRPr="004E1D34">
        <w:rPr>
          <w:rFonts w:ascii="Cambria" w:hAnsi="Cambria"/>
          <w:noProof/>
          <w:sz w:val="24"/>
        </w:rPr>
        <w:t xml:space="preserve"> Heritability of adult body height: a comparative study of twin cohorts in eight countries. </w:t>
      </w:r>
      <w:r w:rsidRPr="004E1D34">
        <w:rPr>
          <w:rFonts w:ascii="Cambria" w:hAnsi="Cambria"/>
          <w:i/>
          <w:iCs/>
          <w:noProof/>
          <w:sz w:val="24"/>
        </w:rPr>
        <w:t>Twin Res.</w:t>
      </w:r>
      <w:r w:rsidRPr="004E1D34">
        <w:rPr>
          <w:rFonts w:ascii="Cambria" w:hAnsi="Cambria"/>
          <w:noProof/>
          <w:sz w:val="24"/>
        </w:rPr>
        <w:t xml:space="preserve"> </w:t>
      </w:r>
      <w:r w:rsidRPr="004E1D34">
        <w:rPr>
          <w:rFonts w:ascii="Cambria" w:hAnsi="Cambria"/>
          <w:b/>
          <w:bCs/>
          <w:noProof/>
          <w:sz w:val="24"/>
        </w:rPr>
        <w:t>6,</w:t>
      </w:r>
      <w:r w:rsidRPr="004E1D34">
        <w:rPr>
          <w:rFonts w:ascii="Cambria" w:hAnsi="Cambria"/>
          <w:noProof/>
          <w:sz w:val="24"/>
        </w:rPr>
        <w:t xml:space="preserve"> 399–408 (2003).</w:t>
      </w:r>
    </w:p>
    <w:p w14:paraId="74A3D66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29.</w:t>
      </w:r>
      <w:r w:rsidRPr="004E1D34">
        <w:rPr>
          <w:rFonts w:ascii="Cambria" w:hAnsi="Cambria"/>
          <w:noProof/>
          <w:sz w:val="24"/>
        </w:rPr>
        <w:tab/>
        <w:t xml:space="preserve">Elks, C. E. </w:t>
      </w:r>
      <w:r w:rsidRPr="004E1D34">
        <w:rPr>
          <w:rFonts w:ascii="Cambria" w:hAnsi="Cambria"/>
          <w:i/>
          <w:iCs/>
          <w:noProof/>
          <w:sz w:val="24"/>
        </w:rPr>
        <w:t>et al.</w:t>
      </w:r>
      <w:r w:rsidRPr="004E1D34">
        <w:rPr>
          <w:rFonts w:ascii="Cambria" w:hAnsi="Cambria"/>
          <w:noProof/>
          <w:sz w:val="24"/>
        </w:rPr>
        <w:t xml:space="preserve"> Variability in the heritability of body mass index: a systematic review and meta-regression. </w:t>
      </w:r>
      <w:r w:rsidRPr="004E1D34">
        <w:rPr>
          <w:rFonts w:ascii="Cambria" w:hAnsi="Cambria"/>
          <w:i/>
          <w:iCs/>
          <w:noProof/>
          <w:sz w:val="24"/>
        </w:rPr>
        <w:t>Front. Endocrinol. (Lausanne).</w:t>
      </w:r>
      <w:r w:rsidRPr="004E1D34">
        <w:rPr>
          <w:rFonts w:ascii="Cambria" w:hAnsi="Cambria"/>
          <w:noProof/>
          <w:sz w:val="24"/>
        </w:rPr>
        <w:t xml:space="preserve"> </w:t>
      </w:r>
      <w:r w:rsidRPr="004E1D34">
        <w:rPr>
          <w:rFonts w:ascii="Cambria" w:hAnsi="Cambria"/>
          <w:b/>
          <w:bCs/>
          <w:noProof/>
          <w:sz w:val="24"/>
        </w:rPr>
        <w:t>3,</w:t>
      </w:r>
      <w:r w:rsidRPr="004E1D34">
        <w:rPr>
          <w:rFonts w:ascii="Cambria" w:hAnsi="Cambria"/>
          <w:noProof/>
          <w:sz w:val="24"/>
        </w:rPr>
        <w:t xml:space="preserve"> 29 (2012).</w:t>
      </w:r>
    </w:p>
    <w:p w14:paraId="4C658057"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30.</w:t>
      </w:r>
      <w:r w:rsidRPr="004E1D34">
        <w:rPr>
          <w:rFonts w:ascii="Cambria" w:hAnsi="Cambria"/>
          <w:noProof/>
          <w:sz w:val="24"/>
        </w:rPr>
        <w:tab/>
        <w:t xml:space="preserve">Greene, C. S., Penrod, N. M., Williams, S. M. &amp; Moore, J. H. Failure to Replicate a Genetic Association May Provide Important Clues About Genetic Architecture.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4,</w:t>
      </w:r>
      <w:r w:rsidRPr="004E1D34">
        <w:rPr>
          <w:rFonts w:ascii="Cambria" w:hAnsi="Cambria"/>
          <w:noProof/>
          <w:sz w:val="24"/>
        </w:rPr>
        <w:t xml:space="preserve"> e5639 (2009).</w:t>
      </w:r>
    </w:p>
    <w:p w14:paraId="6CF96FBB"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31.</w:t>
      </w:r>
      <w:r w:rsidRPr="004E1D34">
        <w:rPr>
          <w:rFonts w:ascii="Cambria" w:hAnsi="Cambria"/>
          <w:noProof/>
          <w:sz w:val="24"/>
        </w:rPr>
        <w:tab/>
        <w:t xml:space="preserve">Verhoeven, K. J., Casella, G. &amp; McIntyre, L. M. Epistasis: obstacle or advantage for mapping complex traits?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5,</w:t>
      </w:r>
      <w:r w:rsidRPr="004E1D34">
        <w:rPr>
          <w:rFonts w:ascii="Cambria" w:hAnsi="Cambria"/>
          <w:noProof/>
          <w:sz w:val="24"/>
        </w:rPr>
        <w:t xml:space="preserve"> e12264 (2010).</w:t>
      </w:r>
    </w:p>
    <w:p w14:paraId="384048E1"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32.</w:t>
      </w:r>
      <w:r w:rsidRPr="004E1D34">
        <w:rPr>
          <w:rFonts w:ascii="Cambria" w:hAnsi="Cambria"/>
          <w:noProof/>
          <w:sz w:val="24"/>
        </w:rPr>
        <w:tab/>
        <w:t xml:space="preserve">Strange, A. </w:t>
      </w:r>
      <w:r w:rsidRPr="004E1D34">
        <w:rPr>
          <w:rFonts w:ascii="Cambria" w:hAnsi="Cambria"/>
          <w:i/>
          <w:iCs/>
          <w:noProof/>
          <w:sz w:val="24"/>
        </w:rPr>
        <w:t>et al.</w:t>
      </w:r>
      <w:r w:rsidRPr="004E1D34">
        <w:rPr>
          <w:rFonts w:ascii="Cambria" w:hAnsi="Cambria"/>
          <w:noProof/>
          <w:sz w:val="24"/>
        </w:rPr>
        <w:t xml:space="preserve"> A genome-wide association study identifies new psoriasis susceptibility loci and an interaction between HLA-C and ERAP1. </w:t>
      </w:r>
      <w:r w:rsidRPr="004E1D34">
        <w:rPr>
          <w:rFonts w:ascii="Cambria" w:hAnsi="Cambria"/>
          <w:i/>
          <w:iCs/>
          <w:noProof/>
          <w:sz w:val="24"/>
        </w:rPr>
        <w:t>Nat Genet</w:t>
      </w:r>
      <w:r w:rsidRPr="004E1D34">
        <w:rPr>
          <w:rFonts w:ascii="Cambria" w:hAnsi="Cambria"/>
          <w:noProof/>
          <w:sz w:val="24"/>
        </w:rPr>
        <w:t xml:space="preserve"> </w:t>
      </w:r>
      <w:r w:rsidRPr="004E1D34">
        <w:rPr>
          <w:rFonts w:ascii="Cambria" w:hAnsi="Cambria"/>
          <w:b/>
          <w:bCs/>
          <w:noProof/>
          <w:sz w:val="24"/>
        </w:rPr>
        <w:t>42,</w:t>
      </w:r>
      <w:r w:rsidRPr="004E1D34">
        <w:rPr>
          <w:rFonts w:ascii="Cambria" w:hAnsi="Cambria"/>
          <w:noProof/>
          <w:sz w:val="24"/>
        </w:rPr>
        <w:t xml:space="preserve"> 985–990 (2010).</w:t>
      </w:r>
    </w:p>
    <w:p w14:paraId="1538A19A"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33.</w:t>
      </w:r>
      <w:r w:rsidRPr="004E1D34">
        <w:rPr>
          <w:rFonts w:ascii="Cambria" w:hAnsi="Cambria"/>
          <w:noProof/>
          <w:sz w:val="24"/>
        </w:rPr>
        <w:tab/>
        <w:t xml:space="preserve">Evans, D. M. </w:t>
      </w:r>
      <w:r w:rsidRPr="004E1D34">
        <w:rPr>
          <w:rFonts w:ascii="Cambria" w:hAnsi="Cambria"/>
          <w:i/>
          <w:iCs/>
          <w:noProof/>
          <w:sz w:val="24"/>
        </w:rPr>
        <w:t>et al.</w:t>
      </w:r>
      <w:r w:rsidRPr="004E1D34">
        <w:rPr>
          <w:rFonts w:ascii="Cambria" w:hAnsi="Cambria"/>
          <w:noProof/>
          <w:sz w:val="24"/>
        </w:rPr>
        <w:t xml:space="preserve"> Interaction between ERAP1 and HLA-B27 in ankylosing spondylitis implicates peptide handling in the mechanism for HLA-B27 in disease susceptibility. </w:t>
      </w:r>
      <w:r w:rsidRPr="004E1D34">
        <w:rPr>
          <w:rFonts w:ascii="Cambria" w:hAnsi="Cambria"/>
          <w:i/>
          <w:iCs/>
          <w:noProof/>
          <w:sz w:val="24"/>
        </w:rPr>
        <w:t>Nat Genet</w:t>
      </w:r>
      <w:r w:rsidRPr="004E1D34">
        <w:rPr>
          <w:rFonts w:ascii="Cambria" w:hAnsi="Cambria"/>
          <w:noProof/>
          <w:sz w:val="24"/>
        </w:rPr>
        <w:t xml:space="preserve"> </w:t>
      </w:r>
      <w:r w:rsidRPr="004E1D34">
        <w:rPr>
          <w:rFonts w:ascii="Cambria" w:hAnsi="Cambria"/>
          <w:b/>
          <w:bCs/>
          <w:noProof/>
          <w:sz w:val="24"/>
        </w:rPr>
        <w:t>43,</w:t>
      </w:r>
      <w:r w:rsidRPr="004E1D34">
        <w:rPr>
          <w:rFonts w:ascii="Cambria" w:hAnsi="Cambria"/>
          <w:noProof/>
          <w:sz w:val="24"/>
        </w:rPr>
        <w:t xml:space="preserve"> 761–767 (2011).</w:t>
      </w:r>
    </w:p>
    <w:p w14:paraId="389C5DD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34.</w:t>
      </w:r>
      <w:r w:rsidRPr="004E1D34">
        <w:rPr>
          <w:rFonts w:ascii="Cambria" w:hAnsi="Cambria"/>
          <w:noProof/>
          <w:sz w:val="24"/>
        </w:rPr>
        <w:tab/>
        <w:t xml:space="preserve">Castillejo-López, C. </w:t>
      </w:r>
      <w:r w:rsidRPr="004E1D34">
        <w:rPr>
          <w:rFonts w:ascii="Cambria" w:hAnsi="Cambria"/>
          <w:i/>
          <w:iCs/>
          <w:noProof/>
          <w:sz w:val="24"/>
        </w:rPr>
        <w:t>et al.</w:t>
      </w:r>
      <w:r w:rsidRPr="004E1D34">
        <w:rPr>
          <w:rFonts w:ascii="Cambria" w:hAnsi="Cambria"/>
          <w:noProof/>
          <w:sz w:val="24"/>
        </w:rPr>
        <w:t xml:space="preserve"> Genetic and physical interaction of the B-cell systemic lupus erythematosus-associated genes BANK1 and BLK. </w:t>
      </w:r>
      <w:r w:rsidRPr="004E1D34">
        <w:rPr>
          <w:rFonts w:ascii="Cambria" w:hAnsi="Cambria"/>
          <w:i/>
          <w:iCs/>
          <w:noProof/>
          <w:sz w:val="24"/>
        </w:rPr>
        <w:t>Ann. Rheum. Dis.</w:t>
      </w:r>
      <w:r w:rsidRPr="004E1D34">
        <w:rPr>
          <w:rFonts w:ascii="Cambria" w:hAnsi="Cambria"/>
          <w:noProof/>
          <w:sz w:val="24"/>
        </w:rPr>
        <w:t xml:space="preserve"> </w:t>
      </w:r>
      <w:r w:rsidRPr="004E1D34">
        <w:rPr>
          <w:rFonts w:ascii="Cambria" w:hAnsi="Cambria"/>
          <w:b/>
          <w:bCs/>
          <w:noProof/>
          <w:sz w:val="24"/>
        </w:rPr>
        <w:t>71,</w:t>
      </w:r>
      <w:r w:rsidRPr="004E1D34">
        <w:rPr>
          <w:rFonts w:ascii="Cambria" w:hAnsi="Cambria"/>
          <w:noProof/>
          <w:sz w:val="24"/>
        </w:rPr>
        <w:t xml:space="preserve"> 136–42 (2012).</w:t>
      </w:r>
    </w:p>
    <w:p w14:paraId="61C82910"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35.</w:t>
      </w:r>
      <w:r w:rsidRPr="004E1D34">
        <w:rPr>
          <w:rFonts w:ascii="Cambria" w:hAnsi="Cambria"/>
          <w:noProof/>
          <w:sz w:val="24"/>
        </w:rPr>
        <w:tab/>
        <w:t>Gottesman, I. I., Ph, D. &amp; Gould, T. D. Reviews and Overviews The Endophenotype Concept in Psychiatry : Etymology and Strategic Intentions. 636–645 (2003).</w:t>
      </w:r>
    </w:p>
    <w:p w14:paraId="56DC3A9B"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36.</w:t>
      </w:r>
      <w:r w:rsidRPr="004E1D34">
        <w:rPr>
          <w:rFonts w:ascii="Cambria" w:hAnsi="Cambria"/>
          <w:noProof/>
          <w:sz w:val="24"/>
        </w:rPr>
        <w:tab/>
        <w:t xml:space="preserve">Keightley, P. D. Models of quantitative variation of flux in metabolic pathways. </w:t>
      </w:r>
      <w:r w:rsidRPr="004E1D34">
        <w:rPr>
          <w:rFonts w:ascii="Cambria" w:hAnsi="Cambria"/>
          <w:i/>
          <w:iCs/>
          <w:noProof/>
          <w:sz w:val="24"/>
        </w:rPr>
        <w:t>Genetics</w:t>
      </w:r>
      <w:r w:rsidRPr="004E1D34">
        <w:rPr>
          <w:rFonts w:ascii="Cambria" w:hAnsi="Cambria"/>
          <w:noProof/>
          <w:sz w:val="24"/>
        </w:rPr>
        <w:t xml:space="preserve"> </w:t>
      </w:r>
      <w:r w:rsidRPr="004E1D34">
        <w:rPr>
          <w:rFonts w:ascii="Cambria" w:hAnsi="Cambria"/>
          <w:b/>
          <w:bCs/>
          <w:noProof/>
          <w:sz w:val="24"/>
        </w:rPr>
        <w:t>121,</w:t>
      </w:r>
      <w:r w:rsidRPr="004E1D34">
        <w:rPr>
          <w:rFonts w:ascii="Cambria" w:hAnsi="Cambria"/>
          <w:noProof/>
          <w:sz w:val="24"/>
        </w:rPr>
        <w:t xml:space="preserve"> 869–76 (1989).</w:t>
      </w:r>
    </w:p>
    <w:p w14:paraId="59C12672"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37.</w:t>
      </w:r>
      <w:r w:rsidRPr="004E1D34">
        <w:rPr>
          <w:rFonts w:ascii="Cambria" w:hAnsi="Cambria"/>
          <w:noProof/>
          <w:sz w:val="24"/>
        </w:rPr>
        <w:tab/>
        <w:t xml:space="preserve">Gjuvsland, A. B., Hayes, B. J., Omholt, S. W. &amp; Carlborg, O. Statistical epistasis is a generic feature of gene regulatory networks. </w:t>
      </w:r>
      <w:r w:rsidRPr="004E1D34">
        <w:rPr>
          <w:rFonts w:ascii="Cambria" w:hAnsi="Cambria"/>
          <w:i/>
          <w:iCs/>
          <w:noProof/>
          <w:sz w:val="24"/>
        </w:rPr>
        <w:t>Genetics</w:t>
      </w:r>
      <w:r w:rsidRPr="004E1D34">
        <w:rPr>
          <w:rFonts w:ascii="Cambria" w:hAnsi="Cambria"/>
          <w:noProof/>
          <w:sz w:val="24"/>
        </w:rPr>
        <w:t xml:space="preserve"> </w:t>
      </w:r>
      <w:r w:rsidRPr="004E1D34">
        <w:rPr>
          <w:rFonts w:ascii="Cambria" w:hAnsi="Cambria"/>
          <w:b/>
          <w:bCs/>
          <w:noProof/>
          <w:sz w:val="24"/>
        </w:rPr>
        <w:t>175,</w:t>
      </w:r>
      <w:r w:rsidRPr="004E1D34">
        <w:rPr>
          <w:rFonts w:ascii="Cambria" w:hAnsi="Cambria"/>
          <w:noProof/>
          <w:sz w:val="24"/>
        </w:rPr>
        <w:t xml:space="preserve"> 411–20 (2007).</w:t>
      </w:r>
    </w:p>
    <w:p w14:paraId="61ECD0F5"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38.</w:t>
      </w:r>
      <w:r w:rsidRPr="004E1D34">
        <w:rPr>
          <w:rFonts w:ascii="Cambria" w:hAnsi="Cambria"/>
          <w:noProof/>
          <w:sz w:val="24"/>
        </w:rPr>
        <w:tab/>
        <w:t xml:space="preserve">Houle, D., Govindaraju, D. R. &amp; Omholt, S. Phenomics: the next challenge. </w:t>
      </w:r>
      <w:r w:rsidRPr="004E1D34">
        <w:rPr>
          <w:rFonts w:ascii="Cambria" w:hAnsi="Cambria"/>
          <w:i/>
          <w:iCs/>
          <w:noProof/>
          <w:sz w:val="24"/>
        </w:rPr>
        <w:t>Nat. Rev. Genet.</w:t>
      </w:r>
      <w:r w:rsidRPr="004E1D34">
        <w:rPr>
          <w:rFonts w:ascii="Cambria" w:hAnsi="Cambria"/>
          <w:noProof/>
          <w:sz w:val="24"/>
        </w:rPr>
        <w:t xml:space="preserve"> </w:t>
      </w:r>
      <w:r w:rsidRPr="004E1D34">
        <w:rPr>
          <w:rFonts w:ascii="Cambria" w:hAnsi="Cambria"/>
          <w:b/>
          <w:bCs/>
          <w:noProof/>
          <w:sz w:val="24"/>
        </w:rPr>
        <w:t>11,</w:t>
      </w:r>
      <w:r w:rsidRPr="004E1D34">
        <w:rPr>
          <w:rFonts w:ascii="Cambria" w:hAnsi="Cambria"/>
          <w:noProof/>
          <w:sz w:val="24"/>
        </w:rPr>
        <w:t xml:space="preserve"> 855–866 (2010).</w:t>
      </w:r>
    </w:p>
    <w:p w14:paraId="55193645"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39.</w:t>
      </w:r>
      <w:r w:rsidRPr="004E1D34">
        <w:rPr>
          <w:rFonts w:ascii="Cambria" w:hAnsi="Cambria"/>
          <w:noProof/>
          <w:sz w:val="24"/>
        </w:rPr>
        <w:tab/>
        <w:t xml:space="preserve">Hill, L. D. </w:t>
      </w:r>
      <w:r w:rsidRPr="004E1D34">
        <w:rPr>
          <w:rFonts w:ascii="Cambria" w:hAnsi="Cambria"/>
          <w:i/>
          <w:iCs/>
          <w:noProof/>
          <w:sz w:val="24"/>
        </w:rPr>
        <w:t>et al.</w:t>
      </w:r>
      <w:r w:rsidRPr="004E1D34">
        <w:rPr>
          <w:rFonts w:ascii="Cambria" w:hAnsi="Cambria"/>
          <w:noProof/>
          <w:sz w:val="24"/>
        </w:rPr>
        <w:t xml:space="preserve"> Epistasis between COMT and MTHFR in maternal-fetal dyads increases risk for preeclampsia.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6,</w:t>
      </w:r>
      <w:r w:rsidRPr="004E1D34">
        <w:rPr>
          <w:rFonts w:ascii="Cambria" w:hAnsi="Cambria"/>
          <w:noProof/>
          <w:sz w:val="24"/>
        </w:rPr>
        <w:t xml:space="preserve"> e16681 (2011).</w:t>
      </w:r>
    </w:p>
    <w:p w14:paraId="4343EB27"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40.</w:t>
      </w:r>
      <w:r w:rsidRPr="004E1D34">
        <w:rPr>
          <w:rFonts w:ascii="Cambria" w:hAnsi="Cambria"/>
          <w:noProof/>
          <w:sz w:val="24"/>
        </w:rPr>
        <w:tab/>
        <w:t xml:space="preserve">Génin, E. </w:t>
      </w:r>
      <w:r w:rsidRPr="004E1D34">
        <w:rPr>
          <w:rFonts w:ascii="Cambria" w:hAnsi="Cambria"/>
          <w:i/>
          <w:iCs/>
          <w:noProof/>
          <w:sz w:val="24"/>
        </w:rPr>
        <w:t>et al.</w:t>
      </w:r>
      <w:r w:rsidRPr="004E1D34">
        <w:rPr>
          <w:rFonts w:ascii="Cambria" w:hAnsi="Cambria"/>
          <w:noProof/>
          <w:sz w:val="24"/>
        </w:rPr>
        <w:t xml:space="preserve"> Epistatic interaction between BANK1 and BLK in rheumatoid arthritis: results from a large trans-ethnic meta-analysis.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8,</w:t>
      </w:r>
      <w:r w:rsidRPr="004E1D34">
        <w:rPr>
          <w:rFonts w:ascii="Cambria" w:hAnsi="Cambria"/>
          <w:noProof/>
          <w:sz w:val="24"/>
        </w:rPr>
        <w:t xml:space="preserve"> e61044 (2013).</w:t>
      </w:r>
    </w:p>
    <w:p w14:paraId="1FA11B3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41.</w:t>
      </w:r>
      <w:r w:rsidRPr="004E1D34">
        <w:rPr>
          <w:rFonts w:ascii="Cambria" w:hAnsi="Cambria"/>
          <w:noProof/>
          <w:sz w:val="24"/>
        </w:rPr>
        <w:tab/>
        <w:t xml:space="preserve">Fisher, R. The correlation between relatives on the supposition of Mendelian inheritance. </w:t>
      </w:r>
      <w:r w:rsidRPr="004E1D34">
        <w:rPr>
          <w:rFonts w:ascii="Cambria" w:hAnsi="Cambria"/>
          <w:i/>
          <w:iCs/>
          <w:noProof/>
          <w:sz w:val="24"/>
        </w:rPr>
        <w:t>Trans. R. Soc. Edinburgh</w:t>
      </w:r>
      <w:r w:rsidRPr="004E1D34">
        <w:rPr>
          <w:rFonts w:ascii="Cambria" w:hAnsi="Cambria"/>
          <w:noProof/>
          <w:sz w:val="24"/>
        </w:rPr>
        <w:t xml:space="preserve"> </w:t>
      </w:r>
      <w:r w:rsidRPr="004E1D34">
        <w:rPr>
          <w:rFonts w:ascii="Cambria" w:hAnsi="Cambria"/>
          <w:b/>
          <w:bCs/>
          <w:noProof/>
          <w:sz w:val="24"/>
        </w:rPr>
        <w:t>52,</w:t>
      </w:r>
      <w:r w:rsidRPr="004E1D34">
        <w:rPr>
          <w:rFonts w:ascii="Cambria" w:hAnsi="Cambria"/>
          <w:noProof/>
          <w:sz w:val="24"/>
        </w:rPr>
        <w:t xml:space="preserve"> 399–433 (1918).</w:t>
      </w:r>
    </w:p>
    <w:p w14:paraId="029D39D0"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42.</w:t>
      </w:r>
      <w:r w:rsidRPr="004E1D34">
        <w:rPr>
          <w:rFonts w:ascii="Cambria" w:hAnsi="Cambria"/>
          <w:noProof/>
          <w:sz w:val="24"/>
        </w:rPr>
        <w:tab/>
        <w:t xml:space="preserve">Hill, W. G. Rates of change in quantitative traits from fixation of new mutations. </w:t>
      </w:r>
      <w:r w:rsidRPr="004E1D34">
        <w:rPr>
          <w:rFonts w:ascii="Cambria" w:hAnsi="Cambria"/>
          <w:i/>
          <w:iCs/>
          <w:noProof/>
          <w:sz w:val="24"/>
        </w:rPr>
        <w:t>Proc. Natl. Acad. Sci. U. S. A.</w:t>
      </w:r>
      <w:r w:rsidRPr="004E1D34">
        <w:rPr>
          <w:rFonts w:ascii="Cambria" w:hAnsi="Cambria"/>
          <w:noProof/>
          <w:sz w:val="24"/>
        </w:rPr>
        <w:t xml:space="preserve"> </w:t>
      </w:r>
      <w:r w:rsidRPr="004E1D34">
        <w:rPr>
          <w:rFonts w:ascii="Cambria" w:hAnsi="Cambria"/>
          <w:b/>
          <w:bCs/>
          <w:noProof/>
          <w:sz w:val="24"/>
        </w:rPr>
        <w:t>79,</w:t>
      </w:r>
      <w:r w:rsidRPr="004E1D34">
        <w:rPr>
          <w:rFonts w:ascii="Cambria" w:hAnsi="Cambria"/>
          <w:noProof/>
          <w:sz w:val="24"/>
        </w:rPr>
        <w:t xml:space="preserve"> 142 (1982).</w:t>
      </w:r>
    </w:p>
    <w:p w14:paraId="64BFA29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43.</w:t>
      </w:r>
      <w:r w:rsidRPr="004E1D34">
        <w:rPr>
          <w:rFonts w:ascii="Cambria" w:hAnsi="Cambria"/>
          <w:noProof/>
          <w:sz w:val="24"/>
        </w:rPr>
        <w:tab/>
        <w:t xml:space="preserve">Eyre-Walker, A. Genetic architecture of a complex trait and its implications for fitness and genome-wide association studies. </w:t>
      </w:r>
      <w:r w:rsidRPr="004E1D34">
        <w:rPr>
          <w:rFonts w:ascii="Cambria" w:hAnsi="Cambria"/>
          <w:i/>
          <w:iCs/>
          <w:noProof/>
          <w:sz w:val="24"/>
        </w:rPr>
        <w:t>Proc. Natl. Acad. Sci. U. S. A.</w:t>
      </w:r>
      <w:r w:rsidRPr="004E1D34">
        <w:rPr>
          <w:rFonts w:ascii="Cambria" w:hAnsi="Cambria"/>
          <w:noProof/>
          <w:sz w:val="24"/>
        </w:rPr>
        <w:t xml:space="preserve"> </w:t>
      </w:r>
      <w:r w:rsidRPr="004E1D34">
        <w:rPr>
          <w:rFonts w:ascii="Cambria" w:hAnsi="Cambria"/>
          <w:b/>
          <w:bCs/>
          <w:noProof/>
          <w:sz w:val="24"/>
        </w:rPr>
        <w:t>107 Suppl ,</w:t>
      </w:r>
      <w:r w:rsidRPr="004E1D34">
        <w:rPr>
          <w:rFonts w:ascii="Cambria" w:hAnsi="Cambria"/>
          <w:noProof/>
          <w:sz w:val="24"/>
        </w:rPr>
        <w:t xml:space="preserve"> 1752–6 (2010).</w:t>
      </w:r>
    </w:p>
    <w:p w14:paraId="26CCBC38"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44.</w:t>
      </w:r>
      <w:r w:rsidRPr="004E1D34">
        <w:rPr>
          <w:rFonts w:ascii="Cambria" w:hAnsi="Cambria"/>
          <w:noProof/>
          <w:sz w:val="24"/>
        </w:rPr>
        <w:tab/>
        <w:t xml:space="preserve">Barton, N. H. &amp; Keightley, P. D. Understanding quantitative genetic variation. </w:t>
      </w:r>
      <w:r w:rsidRPr="004E1D34">
        <w:rPr>
          <w:rFonts w:ascii="Cambria" w:hAnsi="Cambria"/>
          <w:i/>
          <w:iCs/>
          <w:noProof/>
          <w:sz w:val="24"/>
        </w:rPr>
        <w:t>Nat. Rev. Genet.</w:t>
      </w:r>
      <w:r w:rsidRPr="004E1D34">
        <w:rPr>
          <w:rFonts w:ascii="Cambria" w:hAnsi="Cambria"/>
          <w:noProof/>
          <w:sz w:val="24"/>
        </w:rPr>
        <w:t xml:space="preserve"> </w:t>
      </w:r>
      <w:r w:rsidRPr="004E1D34">
        <w:rPr>
          <w:rFonts w:ascii="Cambria" w:hAnsi="Cambria"/>
          <w:b/>
          <w:bCs/>
          <w:noProof/>
          <w:sz w:val="24"/>
        </w:rPr>
        <w:t>3,</w:t>
      </w:r>
      <w:r w:rsidRPr="004E1D34">
        <w:rPr>
          <w:rFonts w:ascii="Cambria" w:hAnsi="Cambria"/>
          <w:noProof/>
          <w:sz w:val="24"/>
        </w:rPr>
        <w:t xml:space="preserve"> 11–21 (2002).</w:t>
      </w:r>
    </w:p>
    <w:p w14:paraId="175D8085"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45.</w:t>
      </w:r>
      <w:r w:rsidRPr="004E1D34">
        <w:rPr>
          <w:rFonts w:ascii="Cambria" w:hAnsi="Cambria"/>
          <w:noProof/>
          <w:sz w:val="24"/>
        </w:rPr>
        <w:tab/>
        <w:t xml:space="preserve">Hansen, T. F. &amp; Wagner, G. P. Modeling genetic architecture: a multilinear theory of gene interaction. </w:t>
      </w:r>
      <w:r w:rsidRPr="004E1D34">
        <w:rPr>
          <w:rFonts w:ascii="Cambria" w:hAnsi="Cambria"/>
          <w:i/>
          <w:iCs/>
          <w:noProof/>
          <w:sz w:val="24"/>
        </w:rPr>
        <w:t>Theor. Popul. Biol.</w:t>
      </w:r>
      <w:r w:rsidRPr="004E1D34">
        <w:rPr>
          <w:rFonts w:ascii="Cambria" w:hAnsi="Cambria"/>
          <w:noProof/>
          <w:sz w:val="24"/>
        </w:rPr>
        <w:t xml:space="preserve"> </w:t>
      </w:r>
      <w:r w:rsidRPr="004E1D34">
        <w:rPr>
          <w:rFonts w:ascii="Cambria" w:hAnsi="Cambria"/>
          <w:b/>
          <w:bCs/>
          <w:noProof/>
          <w:sz w:val="24"/>
        </w:rPr>
        <w:t>59,</w:t>
      </w:r>
      <w:r w:rsidRPr="004E1D34">
        <w:rPr>
          <w:rFonts w:ascii="Cambria" w:hAnsi="Cambria"/>
          <w:noProof/>
          <w:sz w:val="24"/>
        </w:rPr>
        <w:t xml:space="preserve"> 61–86 (2001).</w:t>
      </w:r>
    </w:p>
    <w:p w14:paraId="79182F6D"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46.</w:t>
      </w:r>
      <w:r w:rsidRPr="004E1D34">
        <w:rPr>
          <w:rFonts w:ascii="Cambria" w:hAnsi="Cambria"/>
          <w:noProof/>
          <w:sz w:val="24"/>
        </w:rPr>
        <w:tab/>
        <w:t xml:space="preserve">Wright, S. Evolution in Mendelian Populations. </w:t>
      </w:r>
      <w:r w:rsidRPr="004E1D34">
        <w:rPr>
          <w:rFonts w:ascii="Cambria" w:hAnsi="Cambria"/>
          <w:i/>
          <w:iCs/>
          <w:noProof/>
          <w:sz w:val="24"/>
        </w:rPr>
        <w:t>Genetics</w:t>
      </w:r>
      <w:r w:rsidRPr="004E1D34">
        <w:rPr>
          <w:rFonts w:ascii="Cambria" w:hAnsi="Cambria"/>
          <w:noProof/>
          <w:sz w:val="24"/>
        </w:rPr>
        <w:t xml:space="preserve"> </w:t>
      </w:r>
      <w:r w:rsidRPr="004E1D34">
        <w:rPr>
          <w:rFonts w:ascii="Cambria" w:hAnsi="Cambria"/>
          <w:b/>
          <w:bCs/>
          <w:noProof/>
          <w:sz w:val="24"/>
        </w:rPr>
        <w:t>16,</w:t>
      </w:r>
      <w:r w:rsidRPr="004E1D34">
        <w:rPr>
          <w:rFonts w:ascii="Cambria" w:hAnsi="Cambria"/>
          <w:noProof/>
          <w:sz w:val="24"/>
        </w:rPr>
        <w:t xml:space="preserve"> 97–159 (1931).</w:t>
      </w:r>
    </w:p>
    <w:p w14:paraId="2FE062E2"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47.</w:t>
      </w:r>
      <w:r w:rsidRPr="004E1D34">
        <w:rPr>
          <w:rFonts w:ascii="Cambria" w:hAnsi="Cambria"/>
          <w:noProof/>
          <w:sz w:val="24"/>
        </w:rPr>
        <w:tab/>
        <w:t xml:space="preserve">Phillips, P. C. Epistasis--the essential role of gene interactions in the structure and evolution of genetic systems. </w:t>
      </w:r>
      <w:r w:rsidRPr="004E1D34">
        <w:rPr>
          <w:rFonts w:ascii="Cambria" w:hAnsi="Cambria"/>
          <w:i/>
          <w:iCs/>
          <w:noProof/>
          <w:sz w:val="24"/>
        </w:rPr>
        <w:t>Nat Rev Genet</w:t>
      </w:r>
      <w:r w:rsidRPr="004E1D34">
        <w:rPr>
          <w:rFonts w:ascii="Cambria" w:hAnsi="Cambria"/>
          <w:noProof/>
          <w:sz w:val="24"/>
        </w:rPr>
        <w:t xml:space="preserve"> </w:t>
      </w:r>
      <w:r w:rsidRPr="004E1D34">
        <w:rPr>
          <w:rFonts w:ascii="Cambria" w:hAnsi="Cambria"/>
          <w:b/>
          <w:bCs/>
          <w:noProof/>
          <w:sz w:val="24"/>
        </w:rPr>
        <w:t>9,</w:t>
      </w:r>
      <w:r w:rsidRPr="004E1D34">
        <w:rPr>
          <w:rFonts w:ascii="Cambria" w:hAnsi="Cambria"/>
          <w:noProof/>
          <w:sz w:val="24"/>
        </w:rPr>
        <w:t xml:space="preserve"> 855–867 (2008).</w:t>
      </w:r>
    </w:p>
    <w:p w14:paraId="4E3E3C5C"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48.</w:t>
      </w:r>
      <w:r w:rsidRPr="004E1D34">
        <w:rPr>
          <w:rFonts w:ascii="Cambria" w:hAnsi="Cambria"/>
          <w:noProof/>
          <w:sz w:val="24"/>
        </w:rPr>
        <w:tab/>
        <w:t xml:space="preserve">Orr, H. a &amp; Turelli, M. The evolution of postzygotic isolation: accumulating Dobzhansky-Muller incompatibilities. </w:t>
      </w:r>
      <w:r w:rsidRPr="004E1D34">
        <w:rPr>
          <w:rFonts w:ascii="Cambria" w:hAnsi="Cambria"/>
          <w:i/>
          <w:iCs/>
          <w:noProof/>
          <w:sz w:val="24"/>
        </w:rPr>
        <w:t>Evolution</w:t>
      </w:r>
      <w:r w:rsidRPr="004E1D34">
        <w:rPr>
          <w:rFonts w:ascii="Cambria" w:hAnsi="Cambria"/>
          <w:noProof/>
          <w:sz w:val="24"/>
        </w:rPr>
        <w:t xml:space="preserve"> </w:t>
      </w:r>
      <w:r w:rsidRPr="004E1D34">
        <w:rPr>
          <w:rFonts w:ascii="Cambria" w:hAnsi="Cambria"/>
          <w:b/>
          <w:bCs/>
          <w:noProof/>
          <w:sz w:val="24"/>
        </w:rPr>
        <w:t>55,</w:t>
      </w:r>
      <w:r w:rsidRPr="004E1D34">
        <w:rPr>
          <w:rFonts w:ascii="Cambria" w:hAnsi="Cambria"/>
          <w:noProof/>
          <w:sz w:val="24"/>
        </w:rPr>
        <w:t xml:space="preserve"> 1085–94 (2001).</w:t>
      </w:r>
    </w:p>
    <w:p w14:paraId="449E8178"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49.</w:t>
      </w:r>
      <w:r w:rsidRPr="004E1D34">
        <w:rPr>
          <w:rFonts w:ascii="Cambria" w:hAnsi="Cambria"/>
          <w:noProof/>
          <w:sz w:val="24"/>
        </w:rPr>
        <w:tab/>
        <w:t xml:space="preserve">Breen, M. S., Kemena, C., Vlasov, P. K., Notredame, C. &amp; Kondrashov, F. a. Epistasis as the primary factor in molecular evolution. </w:t>
      </w:r>
      <w:r w:rsidRPr="004E1D34">
        <w:rPr>
          <w:rFonts w:ascii="Cambria" w:hAnsi="Cambria"/>
          <w:i/>
          <w:iCs/>
          <w:noProof/>
          <w:sz w:val="24"/>
        </w:rPr>
        <w:t>Nature</w:t>
      </w:r>
      <w:r w:rsidRPr="004E1D34">
        <w:rPr>
          <w:rFonts w:ascii="Cambria" w:hAnsi="Cambria"/>
          <w:noProof/>
          <w:sz w:val="24"/>
        </w:rPr>
        <w:t xml:space="preserve"> </w:t>
      </w:r>
      <w:r w:rsidRPr="004E1D34">
        <w:rPr>
          <w:rFonts w:ascii="Cambria" w:hAnsi="Cambria"/>
          <w:b/>
          <w:bCs/>
          <w:noProof/>
          <w:sz w:val="24"/>
        </w:rPr>
        <w:t>490,</w:t>
      </w:r>
      <w:r w:rsidRPr="004E1D34">
        <w:rPr>
          <w:rFonts w:ascii="Cambria" w:hAnsi="Cambria"/>
          <w:noProof/>
          <w:sz w:val="24"/>
        </w:rPr>
        <w:t xml:space="preserve"> 535–538 (2012).</w:t>
      </w:r>
    </w:p>
    <w:p w14:paraId="0FD9AF97"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50.</w:t>
      </w:r>
      <w:r w:rsidRPr="004E1D34">
        <w:rPr>
          <w:rFonts w:ascii="Cambria" w:hAnsi="Cambria"/>
          <w:noProof/>
          <w:sz w:val="24"/>
        </w:rPr>
        <w:tab/>
        <w:t xml:space="preserve">Kondrashov, A., Sunyaev, S. &amp; Kondrashov, F. Dobzhansky–Muller incompatibilities in protein evolution. </w:t>
      </w:r>
      <w:r w:rsidRPr="004E1D34">
        <w:rPr>
          <w:rFonts w:ascii="Cambria" w:hAnsi="Cambria"/>
          <w:i/>
          <w:iCs/>
          <w:noProof/>
          <w:sz w:val="24"/>
        </w:rPr>
        <w:t>Proc. Natl. Acad. Sci. U. S. A.</w:t>
      </w:r>
      <w:r w:rsidRPr="004E1D34">
        <w:rPr>
          <w:rFonts w:ascii="Cambria" w:hAnsi="Cambria"/>
          <w:noProof/>
          <w:sz w:val="24"/>
        </w:rPr>
        <w:t xml:space="preserve"> </w:t>
      </w:r>
      <w:r w:rsidRPr="004E1D34">
        <w:rPr>
          <w:rFonts w:ascii="Cambria" w:hAnsi="Cambria"/>
          <w:b/>
          <w:bCs/>
          <w:noProof/>
          <w:sz w:val="24"/>
        </w:rPr>
        <w:t>99,</w:t>
      </w:r>
      <w:r w:rsidRPr="004E1D34">
        <w:rPr>
          <w:rFonts w:ascii="Cambria" w:hAnsi="Cambria"/>
          <w:noProof/>
          <w:sz w:val="24"/>
        </w:rPr>
        <w:t xml:space="preserve"> 14878–14883 (2002).</w:t>
      </w:r>
    </w:p>
    <w:p w14:paraId="2D31E2E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51.</w:t>
      </w:r>
      <w:r w:rsidRPr="004E1D34">
        <w:rPr>
          <w:rFonts w:ascii="Cambria" w:hAnsi="Cambria"/>
          <w:noProof/>
          <w:sz w:val="24"/>
        </w:rPr>
        <w:tab/>
        <w:t xml:space="preserve">Lappalainen, T., Montgomery, S. B., Nica, A. C. &amp; Dermitzakis, E. T. Epistatic selection between coding and regulatory variation in human evolution and disease. </w:t>
      </w:r>
      <w:r w:rsidRPr="004E1D34">
        <w:rPr>
          <w:rFonts w:ascii="Cambria" w:hAnsi="Cambria"/>
          <w:i/>
          <w:iCs/>
          <w:noProof/>
          <w:sz w:val="24"/>
        </w:rPr>
        <w:t>Am J Hum Genet</w:t>
      </w:r>
      <w:r w:rsidRPr="004E1D34">
        <w:rPr>
          <w:rFonts w:ascii="Cambria" w:hAnsi="Cambria"/>
          <w:noProof/>
          <w:sz w:val="24"/>
        </w:rPr>
        <w:t xml:space="preserve"> </w:t>
      </w:r>
      <w:r w:rsidRPr="004E1D34">
        <w:rPr>
          <w:rFonts w:ascii="Cambria" w:hAnsi="Cambria"/>
          <w:b/>
          <w:bCs/>
          <w:noProof/>
          <w:sz w:val="24"/>
        </w:rPr>
        <w:t>89,</w:t>
      </w:r>
      <w:r w:rsidRPr="004E1D34">
        <w:rPr>
          <w:rFonts w:ascii="Cambria" w:hAnsi="Cambria"/>
          <w:noProof/>
          <w:sz w:val="24"/>
        </w:rPr>
        <w:t xml:space="preserve"> 459–463 (2011).</w:t>
      </w:r>
    </w:p>
    <w:p w14:paraId="6DDAE12E"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52.</w:t>
      </w:r>
      <w:r w:rsidRPr="004E1D34">
        <w:rPr>
          <w:rFonts w:ascii="Cambria" w:hAnsi="Cambria"/>
          <w:noProof/>
          <w:sz w:val="24"/>
        </w:rPr>
        <w:tab/>
        <w:t xml:space="preserve">Noor, S. </w:t>
      </w:r>
      <w:r w:rsidRPr="004E1D34">
        <w:rPr>
          <w:rFonts w:ascii="Cambria" w:hAnsi="Cambria"/>
          <w:i/>
          <w:iCs/>
          <w:noProof/>
          <w:sz w:val="24"/>
        </w:rPr>
        <w:t>et al.</w:t>
      </w:r>
      <w:r w:rsidRPr="004E1D34">
        <w:rPr>
          <w:rFonts w:ascii="Cambria" w:hAnsi="Cambria"/>
          <w:noProof/>
          <w:sz w:val="24"/>
        </w:rPr>
        <w:t xml:space="preserve"> Intramolecular epistasis and the evolution of a new enzymatic function.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7,</w:t>
      </w:r>
      <w:r w:rsidRPr="004E1D34">
        <w:rPr>
          <w:rFonts w:ascii="Cambria" w:hAnsi="Cambria"/>
          <w:noProof/>
          <w:sz w:val="24"/>
        </w:rPr>
        <w:t xml:space="preserve"> e39822 (2012).</w:t>
      </w:r>
    </w:p>
    <w:p w14:paraId="00FD8811"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53.</w:t>
      </w:r>
      <w:r w:rsidRPr="004E1D34">
        <w:rPr>
          <w:rFonts w:ascii="Cambria" w:hAnsi="Cambria"/>
          <w:noProof/>
          <w:sz w:val="24"/>
        </w:rPr>
        <w:tab/>
        <w:t xml:space="preserve">Hu, X. </w:t>
      </w:r>
      <w:r w:rsidRPr="004E1D34">
        <w:rPr>
          <w:rFonts w:ascii="Cambria" w:hAnsi="Cambria"/>
          <w:i/>
          <w:iCs/>
          <w:noProof/>
          <w:sz w:val="24"/>
        </w:rPr>
        <w:t>et al.</w:t>
      </w:r>
      <w:r w:rsidRPr="004E1D34">
        <w:rPr>
          <w:rFonts w:ascii="Cambria" w:hAnsi="Cambria"/>
          <w:noProof/>
          <w:sz w:val="24"/>
        </w:rPr>
        <w:t xml:space="preserve"> Integrating autoimmune risk loci with gene-expression data identifies specific pathogenic immune cell subsets. </w:t>
      </w:r>
      <w:r w:rsidRPr="004E1D34">
        <w:rPr>
          <w:rFonts w:ascii="Cambria" w:hAnsi="Cambria"/>
          <w:i/>
          <w:iCs/>
          <w:noProof/>
          <w:sz w:val="24"/>
        </w:rPr>
        <w:t>Am J Hum Genet</w:t>
      </w:r>
      <w:r w:rsidRPr="004E1D34">
        <w:rPr>
          <w:rFonts w:ascii="Cambria" w:hAnsi="Cambria"/>
          <w:noProof/>
          <w:sz w:val="24"/>
        </w:rPr>
        <w:t xml:space="preserve"> </w:t>
      </w:r>
      <w:r w:rsidRPr="004E1D34">
        <w:rPr>
          <w:rFonts w:ascii="Cambria" w:hAnsi="Cambria"/>
          <w:b/>
          <w:bCs/>
          <w:noProof/>
          <w:sz w:val="24"/>
        </w:rPr>
        <w:t>89,</w:t>
      </w:r>
      <w:r w:rsidRPr="004E1D34">
        <w:rPr>
          <w:rFonts w:ascii="Cambria" w:hAnsi="Cambria"/>
          <w:noProof/>
          <w:sz w:val="24"/>
        </w:rPr>
        <w:t xml:space="preserve"> 496–506 (2011).</w:t>
      </w:r>
    </w:p>
    <w:p w14:paraId="1959AC7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54.</w:t>
      </w:r>
      <w:r w:rsidRPr="004E1D34">
        <w:rPr>
          <w:rFonts w:ascii="Cambria" w:hAnsi="Cambria"/>
          <w:noProof/>
          <w:sz w:val="24"/>
        </w:rPr>
        <w:tab/>
        <w:t xml:space="preserve">Wray, N. R., Yang, J., Goddard, M. E. &amp; Visscher, P. M. The Genetic Interpretation of Area under the ROC Curve in Genomic Profiling. </w:t>
      </w:r>
      <w:r w:rsidRPr="004E1D34">
        <w:rPr>
          <w:rFonts w:ascii="Cambria" w:hAnsi="Cambria"/>
          <w:i/>
          <w:iCs/>
          <w:noProof/>
          <w:sz w:val="24"/>
        </w:rPr>
        <w:t>PLoS Genet.</w:t>
      </w:r>
      <w:r w:rsidRPr="004E1D34">
        <w:rPr>
          <w:rFonts w:ascii="Cambria" w:hAnsi="Cambria"/>
          <w:noProof/>
          <w:sz w:val="24"/>
        </w:rPr>
        <w:t xml:space="preserve"> </w:t>
      </w:r>
      <w:r w:rsidRPr="004E1D34">
        <w:rPr>
          <w:rFonts w:ascii="Cambria" w:hAnsi="Cambria"/>
          <w:b/>
          <w:bCs/>
          <w:noProof/>
          <w:sz w:val="24"/>
        </w:rPr>
        <w:t>6,</w:t>
      </w:r>
      <w:r w:rsidRPr="004E1D34">
        <w:rPr>
          <w:rFonts w:ascii="Cambria" w:hAnsi="Cambria"/>
          <w:noProof/>
          <w:sz w:val="24"/>
        </w:rPr>
        <w:t xml:space="preserve"> e1000864 (2010).</w:t>
      </w:r>
    </w:p>
    <w:p w14:paraId="20397B11"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55.</w:t>
      </w:r>
      <w:r w:rsidRPr="004E1D34">
        <w:rPr>
          <w:rFonts w:ascii="Cambria" w:hAnsi="Cambria"/>
          <w:noProof/>
          <w:sz w:val="24"/>
        </w:rPr>
        <w:tab/>
        <w:t xml:space="preserve">Daetwyler, H. D., Villanueva, B. &amp; Woolliams, J. a. Accuracy of predicting the genetic risk of disease using a genome-wide approach.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3,</w:t>
      </w:r>
      <w:r w:rsidRPr="004E1D34">
        <w:rPr>
          <w:rFonts w:ascii="Cambria" w:hAnsi="Cambria"/>
          <w:noProof/>
          <w:sz w:val="24"/>
        </w:rPr>
        <w:t xml:space="preserve"> e3395 (2008).</w:t>
      </w:r>
    </w:p>
    <w:p w14:paraId="5832FE7F"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56.</w:t>
      </w:r>
      <w:r w:rsidRPr="004E1D34">
        <w:rPr>
          <w:rFonts w:ascii="Cambria" w:hAnsi="Cambria"/>
          <w:noProof/>
          <w:sz w:val="24"/>
        </w:rPr>
        <w:tab/>
        <w:t xml:space="preserve">Quon, G., Lippert, C., Heckerman, D. &amp; Listgarten, J. Patterns of methylation heritability in a genome-wide analysis of four brain regions. </w:t>
      </w:r>
      <w:r w:rsidRPr="004E1D34">
        <w:rPr>
          <w:rFonts w:ascii="Cambria" w:hAnsi="Cambria"/>
          <w:i/>
          <w:iCs/>
          <w:noProof/>
          <w:sz w:val="24"/>
        </w:rPr>
        <w:t>Nucleic Acids Res.</w:t>
      </w:r>
      <w:r w:rsidRPr="004E1D34">
        <w:rPr>
          <w:rFonts w:ascii="Cambria" w:hAnsi="Cambria"/>
          <w:noProof/>
          <w:sz w:val="24"/>
        </w:rPr>
        <w:t xml:space="preserve"> </w:t>
      </w:r>
      <w:r w:rsidRPr="004E1D34">
        <w:rPr>
          <w:rFonts w:ascii="Cambria" w:hAnsi="Cambria"/>
          <w:b/>
          <w:bCs/>
          <w:noProof/>
          <w:sz w:val="24"/>
        </w:rPr>
        <w:t>41,</w:t>
      </w:r>
      <w:r w:rsidRPr="004E1D34">
        <w:rPr>
          <w:rFonts w:ascii="Cambria" w:hAnsi="Cambria"/>
          <w:noProof/>
          <w:sz w:val="24"/>
        </w:rPr>
        <w:t xml:space="preserve"> 2095–104 (2013).</w:t>
      </w:r>
    </w:p>
    <w:p w14:paraId="375A42FD"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57.</w:t>
      </w:r>
      <w:r w:rsidRPr="004E1D34">
        <w:rPr>
          <w:rFonts w:ascii="Cambria" w:hAnsi="Cambria"/>
          <w:noProof/>
          <w:sz w:val="24"/>
        </w:rPr>
        <w:tab/>
        <w:t xml:space="preserve">Gervin, K. </w:t>
      </w:r>
      <w:r w:rsidRPr="004E1D34">
        <w:rPr>
          <w:rFonts w:ascii="Cambria" w:hAnsi="Cambria"/>
          <w:i/>
          <w:iCs/>
          <w:noProof/>
          <w:sz w:val="24"/>
        </w:rPr>
        <w:t>et al.</w:t>
      </w:r>
      <w:r w:rsidRPr="004E1D34">
        <w:rPr>
          <w:rFonts w:ascii="Cambria" w:hAnsi="Cambria"/>
          <w:noProof/>
          <w:sz w:val="24"/>
        </w:rPr>
        <w:t xml:space="preserve"> Extensive variation and low heritability of DNA methylation identified in a twin study. </w:t>
      </w:r>
      <w:r w:rsidRPr="004E1D34">
        <w:rPr>
          <w:rFonts w:ascii="Cambria" w:hAnsi="Cambria"/>
          <w:i/>
          <w:iCs/>
          <w:noProof/>
          <w:sz w:val="24"/>
        </w:rPr>
        <w:t>Genome Res.</w:t>
      </w:r>
      <w:r w:rsidRPr="004E1D34">
        <w:rPr>
          <w:rFonts w:ascii="Cambria" w:hAnsi="Cambria"/>
          <w:noProof/>
          <w:sz w:val="24"/>
        </w:rPr>
        <w:t xml:space="preserve"> </w:t>
      </w:r>
      <w:r w:rsidRPr="004E1D34">
        <w:rPr>
          <w:rFonts w:ascii="Cambria" w:hAnsi="Cambria"/>
          <w:b/>
          <w:bCs/>
          <w:noProof/>
          <w:sz w:val="24"/>
        </w:rPr>
        <w:t>21,</w:t>
      </w:r>
      <w:r w:rsidRPr="004E1D34">
        <w:rPr>
          <w:rFonts w:ascii="Cambria" w:hAnsi="Cambria"/>
          <w:noProof/>
          <w:sz w:val="24"/>
        </w:rPr>
        <w:t xml:space="preserve"> 1813–21 (2011).</w:t>
      </w:r>
    </w:p>
    <w:p w14:paraId="1CC8B4D6"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58.</w:t>
      </w:r>
      <w:r w:rsidRPr="004E1D34">
        <w:rPr>
          <w:rFonts w:ascii="Cambria" w:hAnsi="Cambria"/>
          <w:noProof/>
          <w:sz w:val="24"/>
        </w:rPr>
        <w:tab/>
        <w:t xml:space="preserve">Powell, J. E. </w:t>
      </w:r>
      <w:r w:rsidRPr="004E1D34">
        <w:rPr>
          <w:rFonts w:ascii="Cambria" w:hAnsi="Cambria"/>
          <w:i/>
          <w:iCs/>
          <w:noProof/>
          <w:sz w:val="24"/>
        </w:rPr>
        <w:t>et al.</w:t>
      </w:r>
      <w:r w:rsidRPr="004E1D34">
        <w:rPr>
          <w:rFonts w:ascii="Cambria" w:hAnsi="Cambria"/>
          <w:noProof/>
          <w:sz w:val="24"/>
        </w:rPr>
        <w:t xml:space="preserve"> The Brisbane Systems Genetics Study: genetical genomics meets complex trait genetics. </w:t>
      </w:r>
      <w:r w:rsidRPr="004E1D34">
        <w:rPr>
          <w:rFonts w:ascii="Cambria" w:hAnsi="Cambria"/>
          <w:i/>
          <w:iCs/>
          <w:noProof/>
          <w:sz w:val="24"/>
        </w:rPr>
        <w:t>PLoS One</w:t>
      </w:r>
      <w:r w:rsidRPr="004E1D34">
        <w:rPr>
          <w:rFonts w:ascii="Cambria" w:hAnsi="Cambria"/>
          <w:noProof/>
          <w:sz w:val="24"/>
        </w:rPr>
        <w:t xml:space="preserve"> </w:t>
      </w:r>
      <w:r w:rsidRPr="004E1D34">
        <w:rPr>
          <w:rFonts w:ascii="Cambria" w:hAnsi="Cambria"/>
          <w:b/>
          <w:bCs/>
          <w:noProof/>
          <w:sz w:val="24"/>
        </w:rPr>
        <w:t>7,</w:t>
      </w:r>
      <w:r w:rsidRPr="004E1D34">
        <w:rPr>
          <w:rFonts w:ascii="Cambria" w:hAnsi="Cambria"/>
          <w:noProof/>
          <w:sz w:val="24"/>
        </w:rPr>
        <w:t xml:space="preserve"> e35430 (2012).</w:t>
      </w:r>
    </w:p>
    <w:p w14:paraId="5ACE2FCF"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59.</w:t>
      </w:r>
      <w:r w:rsidRPr="004E1D34">
        <w:rPr>
          <w:rFonts w:ascii="Cambria" w:hAnsi="Cambria"/>
          <w:noProof/>
          <w:sz w:val="24"/>
        </w:rPr>
        <w:tab/>
        <w:t xml:space="preserve">Purcell, S. M. </w:t>
      </w:r>
      <w:r w:rsidRPr="004E1D34">
        <w:rPr>
          <w:rFonts w:ascii="Cambria" w:hAnsi="Cambria"/>
          <w:i/>
          <w:iCs/>
          <w:noProof/>
          <w:sz w:val="24"/>
        </w:rPr>
        <w:t>et al.</w:t>
      </w:r>
      <w:r w:rsidRPr="004E1D34">
        <w:rPr>
          <w:rFonts w:ascii="Cambria" w:hAnsi="Cambria"/>
          <w:noProof/>
          <w:sz w:val="24"/>
        </w:rPr>
        <w:t xml:space="preserve"> Common polygenic variation contributes to risk of schizophrenia and bipolar disorder. </w:t>
      </w:r>
      <w:r w:rsidRPr="004E1D34">
        <w:rPr>
          <w:rFonts w:ascii="Cambria" w:hAnsi="Cambria"/>
          <w:i/>
          <w:iCs/>
          <w:noProof/>
          <w:sz w:val="24"/>
        </w:rPr>
        <w:t>Nature</w:t>
      </w:r>
      <w:r w:rsidRPr="004E1D34">
        <w:rPr>
          <w:rFonts w:ascii="Cambria" w:hAnsi="Cambria"/>
          <w:noProof/>
          <w:sz w:val="24"/>
        </w:rPr>
        <w:t xml:space="preserve"> </w:t>
      </w:r>
      <w:r w:rsidRPr="004E1D34">
        <w:rPr>
          <w:rFonts w:ascii="Cambria" w:hAnsi="Cambria"/>
          <w:b/>
          <w:bCs/>
          <w:noProof/>
          <w:sz w:val="24"/>
        </w:rPr>
        <w:t>460,</w:t>
      </w:r>
      <w:r w:rsidRPr="004E1D34">
        <w:rPr>
          <w:rFonts w:ascii="Cambria" w:hAnsi="Cambria"/>
          <w:noProof/>
          <w:sz w:val="24"/>
        </w:rPr>
        <w:t xml:space="preserve"> 748–752 (2009).</w:t>
      </w:r>
    </w:p>
    <w:p w14:paraId="330D0FA3"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60.</w:t>
      </w:r>
      <w:r w:rsidRPr="004E1D34">
        <w:rPr>
          <w:rFonts w:ascii="Cambria" w:hAnsi="Cambria"/>
          <w:noProof/>
          <w:sz w:val="24"/>
        </w:rPr>
        <w:tab/>
        <w:t xml:space="preserve">Wray, N. R. </w:t>
      </w:r>
      <w:r w:rsidRPr="004E1D34">
        <w:rPr>
          <w:rFonts w:ascii="Cambria" w:hAnsi="Cambria"/>
          <w:i/>
          <w:iCs/>
          <w:noProof/>
          <w:sz w:val="24"/>
        </w:rPr>
        <w:t>et al.</w:t>
      </w:r>
      <w:r w:rsidRPr="004E1D34">
        <w:rPr>
          <w:rFonts w:ascii="Cambria" w:hAnsi="Cambria"/>
          <w:noProof/>
          <w:sz w:val="24"/>
        </w:rPr>
        <w:t xml:space="preserve"> Pitfalls of predicting complex traits from SNPs. </w:t>
      </w:r>
      <w:r w:rsidRPr="004E1D34">
        <w:rPr>
          <w:rFonts w:ascii="Cambria" w:hAnsi="Cambria"/>
          <w:i/>
          <w:iCs/>
          <w:noProof/>
          <w:sz w:val="24"/>
        </w:rPr>
        <w:t>Nat Rev Genet</w:t>
      </w:r>
      <w:r w:rsidRPr="004E1D34">
        <w:rPr>
          <w:rFonts w:ascii="Cambria" w:hAnsi="Cambria"/>
          <w:noProof/>
          <w:sz w:val="24"/>
        </w:rPr>
        <w:t xml:space="preserve"> </w:t>
      </w:r>
      <w:r w:rsidRPr="004E1D34">
        <w:rPr>
          <w:rFonts w:ascii="Cambria" w:hAnsi="Cambria"/>
          <w:b/>
          <w:bCs/>
          <w:noProof/>
          <w:sz w:val="24"/>
        </w:rPr>
        <w:t>14,</w:t>
      </w:r>
      <w:r w:rsidRPr="004E1D34">
        <w:rPr>
          <w:rFonts w:ascii="Cambria" w:hAnsi="Cambria"/>
          <w:noProof/>
          <w:sz w:val="24"/>
        </w:rPr>
        <w:t xml:space="preserve"> 507–515 (2013).</w:t>
      </w:r>
    </w:p>
    <w:p w14:paraId="171DA83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61.</w:t>
      </w:r>
      <w:r w:rsidRPr="004E1D34">
        <w:rPr>
          <w:rFonts w:ascii="Cambria" w:hAnsi="Cambria"/>
          <w:noProof/>
          <w:sz w:val="24"/>
        </w:rPr>
        <w:tab/>
        <w:t xml:space="preserve">Zhou, X., Carbonetto, P. &amp; Stephens, M. Polygenic modeling with bayesian sparse linear mixed models. </w:t>
      </w:r>
      <w:r w:rsidRPr="004E1D34">
        <w:rPr>
          <w:rFonts w:ascii="Cambria" w:hAnsi="Cambria"/>
          <w:i/>
          <w:iCs/>
          <w:noProof/>
          <w:sz w:val="24"/>
        </w:rPr>
        <w:t>PLoS Genet.</w:t>
      </w:r>
      <w:r w:rsidRPr="004E1D34">
        <w:rPr>
          <w:rFonts w:ascii="Cambria" w:hAnsi="Cambria"/>
          <w:noProof/>
          <w:sz w:val="24"/>
        </w:rPr>
        <w:t xml:space="preserve"> </w:t>
      </w:r>
      <w:r w:rsidRPr="004E1D34">
        <w:rPr>
          <w:rFonts w:ascii="Cambria" w:hAnsi="Cambria"/>
          <w:b/>
          <w:bCs/>
          <w:noProof/>
          <w:sz w:val="24"/>
        </w:rPr>
        <w:t>9,</w:t>
      </w:r>
      <w:r w:rsidRPr="004E1D34">
        <w:rPr>
          <w:rFonts w:ascii="Cambria" w:hAnsi="Cambria"/>
          <w:noProof/>
          <w:sz w:val="24"/>
        </w:rPr>
        <w:t xml:space="preserve"> e1003264 (2013).</w:t>
      </w:r>
    </w:p>
    <w:p w14:paraId="67CB5B8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62.</w:t>
      </w:r>
      <w:r w:rsidRPr="004E1D34">
        <w:rPr>
          <w:rFonts w:ascii="Cambria" w:hAnsi="Cambria"/>
          <w:noProof/>
          <w:sz w:val="24"/>
        </w:rPr>
        <w:tab/>
        <w:t xml:space="preserve">Becker, T., Herold, C., Meesters, C., Mattheisen, M. &amp; Baur, M. P. Significance Levels in Genome-Wide Interaction Analysis (GWIA). </w:t>
      </w:r>
      <w:r w:rsidRPr="004E1D34">
        <w:rPr>
          <w:rFonts w:ascii="Cambria" w:hAnsi="Cambria"/>
          <w:i/>
          <w:iCs/>
          <w:noProof/>
          <w:sz w:val="24"/>
        </w:rPr>
        <w:t>Ann. Hum. Genet.</w:t>
      </w:r>
      <w:r w:rsidRPr="004E1D34">
        <w:rPr>
          <w:rFonts w:ascii="Cambria" w:hAnsi="Cambria"/>
          <w:noProof/>
          <w:sz w:val="24"/>
        </w:rPr>
        <w:t xml:space="preserve"> </w:t>
      </w:r>
      <w:r w:rsidRPr="004E1D34">
        <w:rPr>
          <w:rFonts w:ascii="Cambria" w:hAnsi="Cambria"/>
          <w:b/>
          <w:bCs/>
          <w:noProof/>
          <w:sz w:val="24"/>
        </w:rPr>
        <w:t>75,</w:t>
      </w:r>
      <w:r w:rsidRPr="004E1D34">
        <w:rPr>
          <w:rFonts w:ascii="Cambria" w:hAnsi="Cambria"/>
          <w:noProof/>
          <w:sz w:val="24"/>
        </w:rPr>
        <w:t xml:space="preserve"> 29–35 (2011).</w:t>
      </w:r>
    </w:p>
    <w:p w14:paraId="7F8385E2"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63.</w:t>
      </w:r>
      <w:r w:rsidRPr="004E1D34">
        <w:rPr>
          <w:rFonts w:ascii="Cambria" w:hAnsi="Cambria"/>
          <w:noProof/>
          <w:sz w:val="24"/>
        </w:rPr>
        <w:tab/>
        <w:t xml:space="preserve">Carlborg, O., Jacobsson, L., Ahgren, P., Siegel, P. &amp; Andersson, L. Epistasis and the release of genetic variation during long-term selection. </w:t>
      </w:r>
      <w:r w:rsidRPr="004E1D34">
        <w:rPr>
          <w:rFonts w:ascii="Cambria" w:hAnsi="Cambria"/>
          <w:i/>
          <w:iCs/>
          <w:noProof/>
          <w:sz w:val="24"/>
        </w:rPr>
        <w:t>Nat. Genet.</w:t>
      </w:r>
      <w:r w:rsidRPr="004E1D34">
        <w:rPr>
          <w:rFonts w:ascii="Cambria" w:hAnsi="Cambria"/>
          <w:noProof/>
          <w:sz w:val="24"/>
        </w:rPr>
        <w:t xml:space="preserve"> </w:t>
      </w:r>
      <w:r w:rsidRPr="004E1D34">
        <w:rPr>
          <w:rFonts w:ascii="Cambria" w:hAnsi="Cambria"/>
          <w:b/>
          <w:bCs/>
          <w:noProof/>
          <w:sz w:val="24"/>
        </w:rPr>
        <w:t>38,</w:t>
      </w:r>
      <w:r w:rsidRPr="004E1D34">
        <w:rPr>
          <w:rFonts w:ascii="Cambria" w:hAnsi="Cambria"/>
          <w:noProof/>
          <w:sz w:val="24"/>
        </w:rPr>
        <w:t xml:space="preserve"> 418–420 (2006).</w:t>
      </w:r>
    </w:p>
    <w:p w14:paraId="73B43D9D"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64.</w:t>
      </w:r>
      <w:r w:rsidRPr="004E1D34">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4E1D34">
        <w:rPr>
          <w:rFonts w:ascii="Cambria" w:hAnsi="Cambria"/>
          <w:i/>
          <w:iCs/>
          <w:noProof/>
          <w:sz w:val="24"/>
        </w:rPr>
        <w:t>Genet. Res. (Camb).</w:t>
      </w:r>
      <w:r w:rsidRPr="004E1D34">
        <w:rPr>
          <w:rFonts w:ascii="Cambria" w:hAnsi="Cambria"/>
          <w:noProof/>
          <w:sz w:val="24"/>
        </w:rPr>
        <w:t xml:space="preserve"> </w:t>
      </w:r>
      <w:r w:rsidRPr="004E1D34">
        <w:rPr>
          <w:rFonts w:ascii="Cambria" w:hAnsi="Cambria"/>
          <w:b/>
          <w:bCs/>
          <w:noProof/>
          <w:sz w:val="24"/>
        </w:rPr>
        <w:t>94,</w:t>
      </w:r>
      <w:r w:rsidRPr="004E1D34">
        <w:rPr>
          <w:rFonts w:ascii="Cambria" w:hAnsi="Cambria"/>
          <w:noProof/>
          <w:sz w:val="24"/>
        </w:rPr>
        <w:t xml:space="preserve"> 255–66 (2012).</w:t>
      </w:r>
    </w:p>
    <w:p w14:paraId="64AC9C74"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65.</w:t>
      </w:r>
      <w:r w:rsidRPr="004E1D34">
        <w:rPr>
          <w:rFonts w:ascii="Cambria" w:hAnsi="Cambria"/>
          <w:noProof/>
          <w:sz w:val="24"/>
        </w:rPr>
        <w:tab/>
        <w:t xml:space="preserve">Wang, D. </w:t>
      </w:r>
      <w:r w:rsidRPr="004E1D34">
        <w:rPr>
          <w:rFonts w:ascii="Cambria" w:hAnsi="Cambria"/>
          <w:i/>
          <w:iCs/>
          <w:noProof/>
          <w:sz w:val="24"/>
        </w:rPr>
        <w:t>et al.</w:t>
      </w:r>
      <w:r w:rsidRPr="004E1D34">
        <w:rPr>
          <w:rFonts w:ascii="Cambria" w:hAnsi="Cambria"/>
          <w:noProof/>
          <w:sz w:val="24"/>
        </w:rPr>
        <w:t xml:space="preserve"> Prediction of genetic values of quantitative traits with epistatic effects in plant breeding populations. </w:t>
      </w:r>
      <w:r w:rsidRPr="004E1D34">
        <w:rPr>
          <w:rFonts w:ascii="Cambria" w:hAnsi="Cambria"/>
          <w:i/>
          <w:iCs/>
          <w:noProof/>
          <w:sz w:val="24"/>
        </w:rPr>
        <w:t>Heredity (Edinb).</w:t>
      </w:r>
      <w:r w:rsidRPr="004E1D34">
        <w:rPr>
          <w:rFonts w:ascii="Cambria" w:hAnsi="Cambria"/>
          <w:noProof/>
          <w:sz w:val="24"/>
        </w:rPr>
        <w:t xml:space="preserve"> </w:t>
      </w:r>
      <w:r w:rsidRPr="004E1D34">
        <w:rPr>
          <w:rFonts w:ascii="Cambria" w:hAnsi="Cambria"/>
          <w:b/>
          <w:bCs/>
          <w:noProof/>
          <w:sz w:val="24"/>
        </w:rPr>
        <w:t>109,</w:t>
      </w:r>
      <w:r w:rsidRPr="004E1D34">
        <w:rPr>
          <w:rFonts w:ascii="Cambria" w:hAnsi="Cambria"/>
          <w:noProof/>
          <w:sz w:val="24"/>
        </w:rPr>
        <w:t xml:space="preserve"> 313–9 (2012).</w:t>
      </w:r>
    </w:p>
    <w:p w14:paraId="4CFB080C"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66.</w:t>
      </w:r>
      <w:r w:rsidRPr="004E1D34">
        <w:rPr>
          <w:rFonts w:ascii="Cambria" w:hAnsi="Cambria"/>
          <w:noProof/>
          <w:sz w:val="24"/>
        </w:rPr>
        <w:tab/>
        <w:t xml:space="preserve">Dudley, J. W. &amp; Johnson, G. R. Epistatic Models Improve Prediction of Performance in Corn. </w:t>
      </w:r>
      <w:r w:rsidRPr="004E1D34">
        <w:rPr>
          <w:rFonts w:ascii="Cambria" w:hAnsi="Cambria"/>
          <w:i/>
          <w:iCs/>
          <w:noProof/>
          <w:sz w:val="24"/>
        </w:rPr>
        <w:t>Crop Sci.</w:t>
      </w:r>
      <w:r w:rsidRPr="004E1D34">
        <w:rPr>
          <w:rFonts w:ascii="Cambria" w:hAnsi="Cambria"/>
          <w:noProof/>
          <w:sz w:val="24"/>
        </w:rPr>
        <w:t xml:space="preserve"> </w:t>
      </w:r>
      <w:r w:rsidRPr="004E1D34">
        <w:rPr>
          <w:rFonts w:ascii="Cambria" w:hAnsi="Cambria"/>
          <w:b/>
          <w:bCs/>
          <w:noProof/>
          <w:sz w:val="24"/>
        </w:rPr>
        <w:t>49,</w:t>
      </w:r>
      <w:r w:rsidRPr="004E1D34">
        <w:rPr>
          <w:rFonts w:ascii="Cambria" w:hAnsi="Cambria"/>
          <w:noProof/>
          <w:sz w:val="24"/>
        </w:rPr>
        <w:t xml:space="preserve"> 763 (2009).</w:t>
      </w:r>
    </w:p>
    <w:p w14:paraId="5570A281"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67.</w:t>
      </w:r>
      <w:r w:rsidRPr="004E1D34">
        <w:rPr>
          <w:rFonts w:ascii="Cambria" w:hAnsi="Cambria"/>
          <w:noProof/>
          <w:sz w:val="24"/>
        </w:rPr>
        <w:tab/>
        <w:t xml:space="preserve">Hu, Z. </w:t>
      </w:r>
      <w:r w:rsidRPr="004E1D34">
        <w:rPr>
          <w:rFonts w:ascii="Cambria" w:hAnsi="Cambria"/>
          <w:i/>
          <w:iCs/>
          <w:noProof/>
          <w:sz w:val="24"/>
        </w:rPr>
        <w:t>et al.</w:t>
      </w:r>
      <w:r w:rsidRPr="004E1D34">
        <w:rPr>
          <w:rFonts w:ascii="Cambria" w:hAnsi="Cambria"/>
          <w:noProof/>
          <w:sz w:val="24"/>
        </w:rPr>
        <w:t xml:space="preserve"> Genomic value prediction for quantitative traits under the epistatic model. </w:t>
      </w:r>
      <w:r w:rsidRPr="004E1D34">
        <w:rPr>
          <w:rFonts w:ascii="Cambria" w:hAnsi="Cambria"/>
          <w:i/>
          <w:iCs/>
          <w:noProof/>
          <w:sz w:val="24"/>
        </w:rPr>
        <w:t>BMC Genet.</w:t>
      </w:r>
      <w:r w:rsidRPr="004E1D34">
        <w:rPr>
          <w:rFonts w:ascii="Cambria" w:hAnsi="Cambria"/>
          <w:noProof/>
          <w:sz w:val="24"/>
        </w:rPr>
        <w:t xml:space="preserve"> </w:t>
      </w:r>
      <w:r w:rsidRPr="004E1D34">
        <w:rPr>
          <w:rFonts w:ascii="Cambria" w:hAnsi="Cambria"/>
          <w:b/>
          <w:bCs/>
          <w:noProof/>
          <w:sz w:val="24"/>
        </w:rPr>
        <w:t>12,</w:t>
      </w:r>
      <w:r w:rsidRPr="004E1D34">
        <w:rPr>
          <w:rFonts w:ascii="Cambria" w:hAnsi="Cambria"/>
          <w:noProof/>
          <w:sz w:val="24"/>
        </w:rPr>
        <w:t xml:space="preserve"> 15 (2011).</w:t>
      </w:r>
    </w:p>
    <w:p w14:paraId="5D170927"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68.</w:t>
      </w:r>
      <w:r w:rsidRPr="004E1D34">
        <w:rPr>
          <w:rFonts w:ascii="Cambria" w:hAnsi="Cambria"/>
          <w:noProof/>
          <w:sz w:val="24"/>
        </w:rPr>
        <w:tab/>
        <w:t xml:space="preserve">González-Camacho, J. M. </w:t>
      </w:r>
      <w:r w:rsidRPr="004E1D34">
        <w:rPr>
          <w:rFonts w:ascii="Cambria" w:hAnsi="Cambria"/>
          <w:i/>
          <w:iCs/>
          <w:noProof/>
          <w:sz w:val="24"/>
        </w:rPr>
        <w:t>et al.</w:t>
      </w:r>
      <w:r w:rsidRPr="004E1D34">
        <w:rPr>
          <w:rFonts w:ascii="Cambria" w:hAnsi="Cambria"/>
          <w:noProof/>
          <w:sz w:val="24"/>
        </w:rPr>
        <w:t xml:space="preserve"> Genome-enabled prediction of genetic values using radial basis function neural networks. </w:t>
      </w:r>
      <w:r w:rsidRPr="004E1D34">
        <w:rPr>
          <w:rFonts w:ascii="Cambria" w:hAnsi="Cambria"/>
          <w:i/>
          <w:iCs/>
          <w:noProof/>
          <w:sz w:val="24"/>
        </w:rPr>
        <w:t>Theor. Appl. Genet.</w:t>
      </w:r>
      <w:r w:rsidRPr="004E1D34">
        <w:rPr>
          <w:rFonts w:ascii="Cambria" w:hAnsi="Cambria"/>
          <w:noProof/>
          <w:sz w:val="24"/>
        </w:rPr>
        <w:t xml:space="preserve"> (2012). doi:10.1007/s00122-012-1868-9</w:t>
      </w:r>
    </w:p>
    <w:p w14:paraId="57C6F249" w14:textId="77777777" w:rsidR="004E1D34" w:rsidRPr="004E1D34" w:rsidRDefault="004E1D34">
      <w:pPr>
        <w:pStyle w:val="NormalWeb"/>
        <w:ind w:left="640" w:hanging="640"/>
        <w:divId w:val="968240999"/>
        <w:rPr>
          <w:rFonts w:ascii="Cambria" w:hAnsi="Cambria"/>
          <w:noProof/>
          <w:sz w:val="24"/>
        </w:rPr>
      </w:pPr>
      <w:r w:rsidRPr="004E1D34">
        <w:rPr>
          <w:rFonts w:ascii="Cambria" w:hAnsi="Cambria"/>
          <w:noProof/>
          <w:sz w:val="24"/>
        </w:rPr>
        <w:t>69.</w:t>
      </w:r>
      <w:r w:rsidRPr="004E1D34">
        <w:rPr>
          <w:rFonts w:ascii="Cambria" w:hAnsi="Cambria"/>
          <w:noProof/>
          <w:sz w:val="24"/>
        </w:rPr>
        <w:tab/>
        <w:t xml:space="preserve">Buckler, E. S. </w:t>
      </w:r>
      <w:r w:rsidRPr="004E1D34">
        <w:rPr>
          <w:rFonts w:ascii="Cambria" w:hAnsi="Cambria"/>
          <w:i/>
          <w:iCs/>
          <w:noProof/>
          <w:sz w:val="24"/>
        </w:rPr>
        <w:t>et al.</w:t>
      </w:r>
      <w:r w:rsidRPr="004E1D34">
        <w:rPr>
          <w:rFonts w:ascii="Cambria" w:hAnsi="Cambria"/>
          <w:noProof/>
          <w:sz w:val="24"/>
        </w:rPr>
        <w:t xml:space="preserve"> The genetic architecture of maize flowering time. </w:t>
      </w:r>
      <w:r w:rsidRPr="004E1D34">
        <w:rPr>
          <w:rFonts w:ascii="Cambria" w:hAnsi="Cambria"/>
          <w:i/>
          <w:iCs/>
          <w:noProof/>
          <w:sz w:val="24"/>
        </w:rPr>
        <w:t>Science</w:t>
      </w:r>
      <w:r w:rsidRPr="004E1D34">
        <w:rPr>
          <w:rFonts w:ascii="Cambria" w:hAnsi="Cambria"/>
          <w:noProof/>
          <w:sz w:val="24"/>
        </w:rPr>
        <w:t xml:space="preserve"> </w:t>
      </w:r>
      <w:r w:rsidRPr="004E1D34">
        <w:rPr>
          <w:rFonts w:ascii="Cambria" w:hAnsi="Cambria"/>
          <w:b/>
          <w:bCs/>
          <w:noProof/>
          <w:sz w:val="24"/>
        </w:rPr>
        <w:t>325,</w:t>
      </w:r>
      <w:r w:rsidRPr="004E1D34">
        <w:rPr>
          <w:rFonts w:ascii="Cambria" w:hAnsi="Cambria"/>
          <w:noProof/>
          <w:sz w:val="24"/>
        </w:rPr>
        <w:t xml:space="preserve"> 714–8 (2009). </w:t>
      </w:r>
    </w:p>
    <w:p w14:paraId="5D6D6378" w14:textId="4AF5C366" w:rsidR="005F0E2F" w:rsidRDefault="005F0E2F" w:rsidP="004E1D34">
      <w:pPr>
        <w:pStyle w:val="NormalWeb"/>
        <w:ind w:left="640" w:hanging="640"/>
        <w:divId w:val="299187300"/>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E05D5"/>
    <w:rsid w:val="001E144C"/>
    <w:rsid w:val="00222A0C"/>
    <w:rsid w:val="00235BDE"/>
    <w:rsid w:val="00241701"/>
    <w:rsid w:val="00253FCF"/>
    <w:rsid w:val="0026553E"/>
    <w:rsid w:val="00271461"/>
    <w:rsid w:val="00287769"/>
    <w:rsid w:val="002D0573"/>
    <w:rsid w:val="002E6926"/>
    <w:rsid w:val="003074DB"/>
    <w:rsid w:val="003409E3"/>
    <w:rsid w:val="00352C4B"/>
    <w:rsid w:val="003645E5"/>
    <w:rsid w:val="003657D7"/>
    <w:rsid w:val="00376DE1"/>
    <w:rsid w:val="00376FFC"/>
    <w:rsid w:val="003B2D3F"/>
    <w:rsid w:val="003C5C29"/>
    <w:rsid w:val="003D4C3E"/>
    <w:rsid w:val="003F23E0"/>
    <w:rsid w:val="00411257"/>
    <w:rsid w:val="0041761D"/>
    <w:rsid w:val="004270AF"/>
    <w:rsid w:val="00432AB6"/>
    <w:rsid w:val="004542F0"/>
    <w:rsid w:val="0048723E"/>
    <w:rsid w:val="00494E92"/>
    <w:rsid w:val="004A156A"/>
    <w:rsid w:val="004B5A6F"/>
    <w:rsid w:val="004B689C"/>
    <w:rsid w:val="004D61D5"/>
    <w:rsid w:val="004E1D34"/>
    <w:rsid w:val="004F0505"/>
    <w:rsid w:val="004F6E42"/>
    <w:rsid w:val="005307E3"/>
    <w:rsid w:val="00531ED9"/>
    <w:rsid w:val="00570AEB"/>
    <w:rsid w:val="005C1EBA"/>
    <w:rsid w:val="005D2A7F"/>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731A4"/>
    <w:rsid w:val="007A5719"/>
    <w:rsid w:val="007A7808"/>
    <w:rsid w:val="007C043F"/>
    <w:rsid w:val="007C1B0F"/>
    <w:rsid w:val="007F561C"/>
    <w:rsid w:val="007F7B89"/>
    <w:rsid w:val="008079FC"/>
    <w:rsid w:val="00813BAE"/>
    <w:rsid w:val="008210D4"/>
    <w:rsid w:val="00825D6A"/>
    <w:rsid w:val="00835108"/>
    <w:rsid w:val="0085713A"/>
    <w:rsid w:val="0089033D"/>
    <w:rsid w:val="008903CE"/>
    <w:rsid w:val="00894474"/>
    <w:rsid w:val="0089598B"/>
    <w:rsid w:val="008D5C84"/>
    <w:rsid w:val="008E3D83"/>
    <w:rsid w:val="00924116"/>
    <w:rsid w:val="0093274B"/>
    <w:rsid w:val="00972FD0"/>
    <w:rsid w:val="00982DCD"/>
    <w:rsid w:val="009A31FB"/>
    <w:rsid w:val="009C19EB"/>
    <w:rsid w:val="009C2A2A"/>
    <w:rsid w:val="009D0A85"/>
    <w:rsid w:val="009E0F78"/>
    <w:rsid w:val="009F7282"/>
    <w:rsid w:val="00A50C05"/>
    <w:rsid w:val="00A663BF"/>
    <w:rsid w:val="00A834EC"/>
    <w:rsid w:val="00AB4678"/>
    <w:rsid w:val="00AC27A7"/>
    <w:rsid w:val="00AD1426"/>
    <w:rsid w:val="00AD6F8B"/>
    <w:rsid w:val="00AE1A5C"/>
    <w:rsid w:val="00AF3973"/>
    <w:rsid w:val="00AF3B3B"/>
    <w:rsid w:val="00B0404A"/>
    <w:rsid w:val="00B255B5"/>
    <w:rsid w:val="00B362A2"/>
    <w:rsid w:val="00B51D06"/>
    <w:rsid w:val="00B619E0"/>
    <w:rsid w:val="00B651FE"/>
    <w:rsid w:val="00B66C23"/>
    <w:rsid w:val="00B75C28"/>
    <w:rsid w:val="00B80D15"/>
    <w:rsid w:val="00B812C7"/>
    <w:rsid w:val="00B87FE3"/>
    <w:rsid w:val="00BB48ED"/>
    <w:rsid w:val="00BB4E1A"/>
    <w:rsid w:val="00BC7E67"/>
    <w:rsid w:val="00BC7F6F"/>
    <w:rsid w:val="00BD1106"/>
    <w:rsid w:val="00BD7015"/>
    <w:rsid w:val="00BE0345"/>
    <w:rsid w:val="00C01E5B"/>
    <w:rsid w:val="00C21038"/>
    <w:rsid w:val="00C66A4D"/>
    <w:rsid w:val="00C93790"/>
    <w:rsid w:val="00C97C54"/>
    <w:rsid w:val="00CA1BF8"/>
    <w:rsid w:val="00CA498E"/>
    <w:rsid w:val="00CD1DAF"/>
    <w:rsid w:val="00D26090"/>
    <w:rsid w:val="00D4034C"/>
    <w:rsid w:val="00D51C4B"/>
    <w:rsid w:val="00D5600C"/>
    <w:rsid w:val="00D61686"/>
    <w:rsid w:val="00D70D6B"/>
    <w:rsid w:val="00D719EF"/>
    <w:rsid w:val="00D749C1"/>
    <w:rsid w:val="00D805F5"/>
    <w:rsid w:val="00D82906"/>
    <w:rsid w:val="00DB532A"/>
    <w:rsid w:val="00DB5441"/>
    <w:rsid w:val="00DC228A"/>
    <w:rsid w:val="00DD6648"/>
    <w:rsid w:val="00DE2A77"/>
    <w:rsid w:val="00DE4406"/>
    <w:rsid w:val="00DE74DC"/>
    <w:rsid w:val="00DF056F"/>
    <w:rsid w:val="00E03666"/>
    <w:rsid w:val="00E14178"/>
    <w:rsid w:val="00E267D5"/>
    <w:rsid w:val="00E3125B"/>
    <w:rsid w:val="00E46A48"/>
    <w:rsid w:val="00E636FE"/>
    <w:rsid w:val="00E6685E"/>
    <w:rsid w:val="00E760C2"/>
    <w:rsid w:val="00E871DC"/>
    <w:rsid w:val="00E9674C"/>
    <w:rsid w:val="00EA2CE1"/>
    <w:rsid w:val="00EB7062"/>
    <w:rsid w:val="00ED561D"/>
    <w:rsid w:val="00EF054F"/>
    <w:rsid w:val="00EF3B3D"/>
    <w:rsid w:val="00F0731A"/>
    <w:rsid w:val="00F50DB7"/>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4A79C-2502-7644-910D-6340D221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16</Pages>
  <Words>45570</Words>
  <Characters>259750</Characters>
  <Application>Microsoft Macintosh Word</Application>
  <DocSecurity>0</DocSecurity>
  <Lines>2164</Lines>
  <Paragraphs>609</Paragraphs>
  <ScaleCrop>false</ScaleCrop>
  <Company>UQDI</Company>
  <LinksUpToDate>false</LinksUpToDate>
  <CharactersWithSpaces>304711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45</cp:revision>
  <dcterms:created xsi:type="dcterms:W3CDTF">2013-10-01T13:45:00Z</dcterms:created>
  <dcterms:modified xsi:type="dcterms:W3CDTF">2013-10-22T08:34:00Z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