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20B02" w14:textId="78633FF5" w:rsidR="004145E4" w:rsidRDefault="004145E4" w:rsidP="004145E4">
      <w:pPr>
        <w:pStyle w:val="Title"/>
      </w:pPr>
      <w:r w:rsidRPr="004145E4">
        <w:t>Suppleme</w:t>
      </w:r>
      <w:r>
        <w:t>ntary materials: Modelling pooling strategies for SARS-CoV-2 RT-qPCR testing in a university setting</w:t>
      </w:r>
    </w:p>
    <w:p w14:paraId="12998DD9" w14:textId="05B2C8F7" w:rsidR="004145E4" w:rsidRDefault="004145E4" w:rsidP="004145E4"/>
    <w:p w14:paraId="36D4577D" w14:textId="33B80109" w:rsidR="004145E4" w:rsidRPr="004145E4" w:rsidRDefault="004145E4" w:rsidP="004145E4">
      <w:r>
        <w:t>Hemani et al</w:t>
      </w:r>
    </w:p>
    <w:p w14:paraId="45D85C5A" w14:textId="1820C4FE" w:rsidR="00500130" w:rsidRDefault="00500130" w:rsidP="00500130">
      <w:pPr>
        <w:spacing w:before="100" w:beforeAutospacing="1" w:after="100" w:afterAutospacing="1"/>
      </w:pPr>
      <w:r>
        <w:rPr>
          <w:noProof/>
        </w:rPr>
        <w:drawing>
          <wp:inline distT="0" distB="0" distL="0" distR="0" wp14:anchorId="185BC084" wp14:editId="12F536F0">
            <wp:extent cx="5727701" cy="3769743"/>
            <wp:effectExtent l="0" t="0" r="0" b="254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4">
                      <a:extLst>
                        <a:ext uri="{28A0092B-C50C-407E-A947-70E740481C1C}">
                          <a14:useLocalDpi xmlns:a14="http://schemas.microsoft.com/office/drawing/2010/main" val="0"/>
                        </a:ext>
                      </a:extLst>
                    </a:blip>
                    <a:stretch>
                      <a:fillRect/>
                    </a:stretch>
                  </pic:blipFill>
                  <pic:spPr>
                    <a:xfrm>
                      <a:off x="0" y="0"/>
                      <a:ext cx="5727701" cy="3769743"/>
                    </a:xfrm>
                    <a:prstGeom prst="rect">
                      <a:avLst/>
                    </a:prstGeom>
                  </pic:spPr>
                </pic:pic>
              </a:graphicData>
            </a:graphic>
          </wp:inline>
        </w:drawing>
      </w:r>
      <w:r w:rsidRPr="4D790C3B">
        <w:rPr>
          <w:b/>
          <w:bCs/>
        </w:rPr>
        <w:t xml:space="preserve">Supplementary figure </w:t>
      </w:r>
      <w:r>
        <w:rPr>
          <w:b/>
          <w:bCs/>
        </w:rPr>
        <w:t>1</w:t>
      </w:r>
      <w:r>
        <w:t>: Number of students per living circle</w:t>
      </w:r>
    </w:p>
    <w:p w14:paraId="2A7EB82B" w14:textId="5A6C01F7" w:rsidR="00500130" w:rsidRDefault="00500130">
      <w:r>
        <w:br w:type="page"/>
      </w:r>
    </w:p>
    <w:p w14:paraId="1BCF6DD6" w14:textId="6DDEB879" w:rsidR="00500130" w:rsidRDefault="002C516B" w:rsidP="00500130">
      <w:pPr>
        <w:pStyle w:val="Heading2"/>
      </w:pPr>
      <w:r w:rsidRPr="002C516B">
        <w:rPr>
          <w:noProof/>
        </w:rPr>
        <w:lastRenderedPageBreak/>
        <w:drawing>
          <wp:inline distT="0" distB="0" distL="0" distR="0" wp14:anchorId="1457E6FB" wp14:editId="78414965">
            <wp:extent cx="5727700" cy="4373592"/>
            <wp:effectExtent l="0" t="0" r="0" b="0"/>
            <wp:docPr id="4" name="Picture 4"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731" cy="4379724"/>
                    </a:xfrm>
                    <a:prstGeom prst="rect">
                      <a:avLst/>
                    </a:prstGeom>
                    <a:noFill/>
                    <a:ln>
                      <a:noFill/>
                    </a:ln>
                  </pic:spPr>
                </pic:pic>
              </a:graphicData>
            </a:graphic>
          </wp:inline>
        </w:drawing>
      </w:r>
    </w:p>
    <w:p w14:paraId="7EE68DE6" w14:textId="77777777" w:rsidR="002C516B" w:rsidRPr="002C516B" w:rsidRDefault="002C516B" w:rsidP="002C516B"/>
    <w:p w14:paraId="7FB571D8" w14:textId="77777777" w:rsidR="00500130" w:rsidRPr="00B57275" w:rsidRDefault="00500130" w:rsidP="00500130">
      <w:pPr>
        <w:rPr>
          <w:rFonts w:eastAsiaTheme="minorEastAsia"/>
        </w:rPr>
      </w:pPr>
      <w:r w:rsidRPr="00B57275">
        <w:rPr>
          <w:b/>
          <w:bCs/>
        </w:rPr>
        <w:t xml:space="preserve">Supplementary figure </w:t>
      </w:r>
      <w:r>
        <w:rPr>
          <w:b/>
          <w:bCs/>
        </w:rPr>
        <w:t>2</w:t>
      </w:r>
      <w:r w:rsidRPr="00B57275">
        <w:rPr>
          <w:b/>
          <w:bCs/>
        </w:rPr>
        <w:t>: Distributions relating to the RT-qPCR kinetics based on parameter values that are determined following optimisation.</w:t>
      </w:r>
      <w:r>
        <w:t xml:space="preserve"> Top left: distribution of </w:t>
      </w:r>
      <m:oMath>
        <m:sSub>
          <m:sSubPr>
            <m:ctrlPr>
              <w:rPr>
                <w:rFonts w:ascii="Cambria Math" w:hAnsi="Cambria Math"/>
                <w:i/>
              </w:rPr>
            </m:ctrlPr>
          </m:sSubPr>
          <m:e>
            <m:r>
              <w:rPr>
                <w:rFonts w:ascii="Cambria Math" w:hAnsi="Cambria Math"/>
              </w:rPr>
              <m:t>C</m:t>
            </m:r>
          </m:e>
          <m:sub>
            <m:r>
              <w:rPr>
                <w:rFonts w:ascii="Cambria Math" w:hAnsi="Cambria Math"/>
              </w:rPr>
              <m:t>q</m:t>
            </m:r>
          </m:sub>
        </m:sSub>
      </m:oMath>
      <w:r>
        <w:rPr>
          <w:rFonts w:eastAsiaTheme="minorEastAsia"/>
        </w:rPr>
        <w:t xml:space="preserve"> values for undiluted positive samples. Top right: Distribution of reaction efficiencies. Bottom left: Distribution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oMath>
      <w:r>
        <w:rPr>
          <w:rFonts w:eastAsiaTheme="minorEastAsia"/>
        </w:rPr>
        <w:t xml:space="preserve"> values for positive samples diluted by 10x. Bottom right: Distribution of viral load amongst positive samples in the population. Y-axis represents frequencies for arbitrarily large samples.</w:t>
      </w:r>
    </w:p>
    <w:p w14:paraId="14314E55" w14:textId="7F559088" w:rsidR="002C516B" w:rsidRPr="002C516B" w:rsidRDefault="00500130" w:rsidP="002C516B">
      <w:pPr>
        <w:pStyle w:val="NormalWeb"/>
      </w:pPr>
      <w:r>
        <w:br w:type="page"/>
      </w:r>
    </w:p>
    <w:p w14:paraId="7C945158" w14:textId="4296BEB6" w:rsidR="00500130" w:rsidRDefault="00500130">
      <w:pPr>
        <w:rPr>
          <w:rFonts w:ascii="Times New Roman" w:eastAsia="Times New Roman" w:hAnsi="Times New Roman" w:cs="Times New Roman"/>
          <w:lang w:eastAsia="en-GB"/>
        </w:rPr>
      </w:pPr>
    </w:p>
    <w:p w14:paraId="4C5412E0" w14:textId="2BB1EB27" w:rsidR="00500130" w:rsidRPr="00A310E9" w:rsidRDefault="00A310E9" w:rsidP="00A310E9">
      <w:pPr>
        <w:spacing w:before="100" w:beforeAutospacing="1" w:after="100" w:afterAutospacing="1"/>
        <w:rPr>
          <w:rFonts w:ascii="Times New Roman" w:eastAsia="Times New Roman" w:hAnsi="Times New Roman" w:cs="Times New Roman"/>
          <w:lang w:eastAsia="en-GB"/>
        </w:rPr>
      </w:pPr>
      <w:r w:rsidRPr="00A310E9">
        <w:rPr>
          <w:rFonts w:ascii="Times New Roman" w:eastAsia="Times New Roman" w:hAnsi="Times New Roman" w:cs="Times New Roman"/>
          <w:noProof/>
          <w:lang w:eastAsia="en-GB"/>
        </w:rPr>
        <w:drawing>
          <wp:inline distT="0" distB="0" distL="0" distR="0" wp14:anchorId="36D3C0C4" wp14:editId="423FFBF6">
            <wp:extent cx="5727700" cy="4080294"/>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104" cy="4087706"/>
                    </a:xfrm>
                    <a:prstGeom prst="rect">
                      <a:avLst/>
                    </a:prstGeom>
                    <a:noFill/>
                    <a:ln>
                      <a:noFill/>
                    </a:ln>
                  </pic:spPr>
                </pic:pic>
              </a:graphicData>
            </a:graphic>
          </wp:inline>
        </w:drawing>
      </w:r>
    </w:p>
    <w:p w14:paraId="5064EB53" w14:textId="77777777" w:rsidR="00500130" w:rsidRPr="00F52E4A" w:rsidRDefault="00500130" w:rsidP="00500130">
      <w:r w:rsidRPr="00E42F55">
        <w:rPr>
          <w:b/>
          <w:bCs/>
        </w:rPr>
        <w:t xml:space="preserve">Supplementary figure </w:t>
      </w:r>
      <w:r>
        <w:rPr>
          <w:b/>
          <w:bCs/>
        </w:rPr>
        <w:t>3</w:t>
      </w:r>
      <w:r w:rsidRPr="00E42F55">
        <w:rPr>
          <w:b/>
          <w:bCs/>
        </w:rPr>
        <w:t>:</w:t>
      </w:r>
      <w:r>
        <w:rPr>
          <w:b/>
          <w:bCs/>
        </w:rPr>
        <w:t xml:space="preserve"> Changes in sensitivity of pooling depending on the containment scenario modelled. </w:t>
      </w:r>
      <w:r>
        <w:t xml:space="preserve">Throughout the text we use the CON-QUEST transmission event probabilities, and in this </w:t>
      </w:r>
      <w:proofErr w:type="gramStart"/>
      <w:r>
        <w:t>figure</w:t>
      </w:r>
      <w:proofErr w:type="gramEnd"/>
      <w:r>
        <w:t xml:space="preserve"> we compare the sensitivity of the pooling + follow up model from this model against two other models – a ‘high containment’ model where students are very unlikely to transmit outside of their living circle, and the ‘scs1’ model which is based on student mixing patterns surveyed outside of the pandemic context, and transmission within living circles is substantially reduced. All scenarios indicate that pooling based on living circles outperforms random pooling.</w:t>
      </w:r>
    </w:p>
    <w:p w14:paraId="127B2D62" w14:textId="093277AD" w:rsidR="00A310E9" w:rsidRPr="00A310E9" w:rsidRDefault="00500130" w:rsidP="00A310E9">
      <w:pPr>
        <w:pStyle w:val="NormalWeb"/>
      </w:pPr>
      <w:r>
        <w:br w:type="page"/>
      </w:r>
    </w:p>
    <w:p w14:paraId="7430E0B1" w14:textId="5B4C139D" w:rsidR="00500130" w:rsidRPr="00DB6EC7" w:rsidRDefault="00DB6EC7" w:rsidP="00DB6EC7">
      <w:pPr>
        <w:spacing w:before="100" w:beforeAutospacing="1" w:after="100" w:afterAutospacing="1"/>
        <w:rPr>
          <w:rFonts w:ascii="Times New Roman" w:eastAsia="Times New Roman" w:hAnsi="Times New Roman" w:cs="Times New Roman"/>
          <w:lang w:eastAsia="en-GB"/>
        </w:rPr>
      </w:pPr>
      <w:r w:rsidRPr="00DB6EC7">
        <w:rPr>
          <w:rFonts w:ascii="Times New Roman" w:eastAsia="Times New Roman" w:hAnsi="Times New Roman" w:cs="Times New Roman"/>
          <w:noProof/>
          <w:lang w:eastAsia="en-GB"/>
        </w:rPr>
        <w:lastRenderedPageBreak/>
        <w:drawing>
          <wp:inline distT="0" distB="0" distL="0" distR="0" wp14:anchorId="2992F566" wp14:editId="22C9C749">
            <wp:extent cx="5727700" cy="3933645"/>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193" cy="3940165"/>
                    </a:xfrm>
                    <a:prstGeom prst="rect">
                      <a:avLst/>
                    </a:prstGeom>
                    <a:noFill/>
                    <a:ln>
                      <a:noFill/>
                    </a:ln>
                  </pic:spPr>
                </pic:pic>
              </a:graphicData>
            </a:graphic>
          </wp:inline>
        </w:drawing>
      </w:r>
    </w:p>
    <w:p w14:paraId="1228CA1C" w14:textId="5C8216D3" w:rsidR="00500130" w:rsidRPr="00DC060D" w:rsidRDefault="00500130" w:rsidP="00500130">
      <w:pPr>
        <w:rPr>
          <w:rFonts w:eastAsiaTheme="minorEastAsia"/>
        </w:rPr>
      </w:pPr>
      <w:r w:rsidRPr="00DB1A0D">
        <w:rPr>
          <w:rFonts w:eastAsiaTheme="minorEastAsia"/>
          <w:b/>
          <w:bCs/>
        </w:rPr>
        <w:t>Supplementary figure 4:</w:t>
      </w:r>
      <w:r w:rsidRPr="00D85A05">
        <w:rPr>
          <w:rFonts w:eastAsiaTheme="minorEastAsia"/>
        </w:rPr>
        <w:t xml:space="preserve"> Relationship between RT-qPCR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oMath>
      <w:r w:rsidRPr="00D85A05">
        <w:rPr>
          <w:rFonts w:eastAsiaTheme="minorEastAsia"/>
        </w:rPr>
        <w:t xml:space="preserve"> value and the LFD sensitivity. </w:t>
      </w:r>
      <w:r>
        <w:rPr>
          <w:rFonts w:eastAsiaTheme="minorEastAsia"/>
        </w:rPr>
        <w:t xml:space="preserve">Red points are taken from figure 2 of the </w:t>
      </w:r>
      <w:r w:rsidRPr="00D660D9">
        <w:rPr>
          <w:rFonts w:eastAsiaTheme="minorEastAsia"/>
        </w:rPr>
        <w:t xml:space="preserve">Joint PHE </w:t>
      </w:r>
      <w:proofErr w:type="spellStart"/>
      <w:r w:rsidRPr="00D660D9">
        <w:rPr>
          <w:rFonts w:eastAsiaTheme="minorEastAsia"/>
        </w:rPr>
        <w:t>Porton</w:t>
      </w:r>
      <w:proofErr w:type="spellEnd"/>
      <w:r w:rsidRPr="00D660D9">
        <w:rPr>
          <w:rFonts w:eastAsiaTheme="minorEastAsia"/>
        </w:rPr>
        <w:t xml:space="preserve"> Down &amp; University of Oxford SARS-CoV-2 test development and validation cell</w:t>
      </w:r>
      <w:r>
        <w:rPr>
          <w:rFonts w:eastAsiaTheme="minorEastAsia"/>
        </w:rPr>
        <w:t xml:space="preserve"> rapid evaluation of the LFD. Sigmoid curve is an interpolation against these points.</w:t>
      </w:r>
    </w:p>
    <w:p w14:paraId="5AA4828A" w14:textId="77777777" w:rsidR="00500130" w:rsidRPr="00812B5E" w:rsidRDefault="00500130" w:rsidP="00500130">
      <w:pPr>
        <w:spacing w:before="100" w:beforeAutospacing="1" w:after="100" w:afterAutospacing="1"/>
        <w:rPr>
          <w:rFonts w:ascii="Times New Roman" w:eastAsia="Times New Roman" w:hAnsi="Times New Roman" w:cs="Times New Roman"/>
          <w:lang w:eastAsia="en-GB"/>
        </w:rPr>
      </w:pPr>
    </w:p>
    <w:p w14:paraId="3A624E11" w14:textId="77777777" w:rsidR="00EF0AC4" w:rsidRDefault="002C516B"/>
    <w:sectPr w:rsidR="00EF0AC4" w:rsidSect="005212C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30"/>
    <w:rsid w:val="00097E3D"/>
    <w:rsid w:val="001B1275"/>
    <w:rsid w:val="00225889"/>
    <w:rsid w:val="002C516B"/>
    <w:rsid w:val="003457EB"/>
    <w:rsid w:val="003D30D0"/>
    <w:rsid w:val="00413C61"/>
    <w:rsid w:val="004145E4"/>
    <w:rsid w:val="00500130"/>
    <w:rsid w:val="005212CE"/>
    <w:rsid w:val="00566422"/>
    <w:rsid w:val="00603FFA"/>
    <w:rsid w:val="0061286C"/>
    <w:rsid w:val="0071415A"/>
    <w:rsid w:val="00882C09"/>
    <w:rsid w:val="008A2F32"/>
    <w:rsid w:val="00941B3A"/>
    <w:rsid w:val="00A310E9"/>
    <w:rsid w:val="00DA000A"/>
    <w:rsid w:val="00DB6EC7"/>
    <w:rsid w:val="00E806F8"/>
    <w:rsid w:val="00F4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CB6B6E"/>
  <w14:defaultImageDpi w14:val="32767"/>
  <w15:chartTrackingRefBased/>
  <w15:docId w15:val="{59BADE74-3C16-1841-81D7-106CD9C9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0130"/>
  </w:style>
  <w:style w:type="paragraph" w:styleId="Heading2">
    <w:name w:val="heading 2"/>
    <w:basedOn w:val="Normal"/>
    <w:next w:val="Normal"/>
    <w:link w:val="Heading2Char"/>
    <w:uiPriority w:val="9"/>
    <w:unhideWhenUsed/>
    <w:qFormat/>
    <w:rsid w:val="005001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13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0130"/>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4145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101735">
      <w:bodyDiv w:val="1"/>
      <w:marLeft w:val="0"/>
      <w:marRight w:val="0"/>
      <w:marTop w:val="0"/>
      <w:marBottom w:val="0"/>
      <w:divBdr>
        <w:top w:val="none" w:sz="0" w:space="0" w:color="auto"/>
        <w:left w:val="none" w:sz="0" w:space="0" w:color="auto"/>
        <w:bottom w:val="none" w:sz="0" w:space="0" w:color="auto"/>
        <w:right w:val="none" w:sz="0" w:space="0" w:color="auto"/>
      </w:divBdr>
    </w:div>
    <w:div w:id="1233662008">
      <w:bodyDiv w:val="1"/>
      <w:marLeft w:val="0"/>
      <w:marRight w:val="0"/>
      <w:marTop w:val="0"/>
      <w:marBottom w:val="0"/>
      <w:divBdr>
        <w:top w:val="none" w:sz="0" w:space="0" w:color="auto"/>
        <w:left w:val="none" w:sz="0" w:space="0" w:color="auto"/>
        <w:bottom w:val="none" w:sz="0" w:space="0" w:color="auto"/>
        <w:right w:val="none" w:sz="0" w:space="0" w:color="auto"/>
      </w:divBdr>
    </w:div>
    <w:div w:id="1384015011">
      <w:bodyDiv w:val="1"/>
      <w:marLeft w:val="0"/>
      <w:marRight w:val="0"/>
      <w:marTop w:val="0"/>
      <w:marBottom w:val="0"/>
      <w:divBdr>
        <w:top w:val="none" w:sz="0" w:space="0" w:color="auto"/>
        <w:left w:val="none" w:sz="0" w:space="0" w:color="auto"/>
        <w:bottom w:val="none" w:sz="0" w:space="0" w:color="auto"/>
        <w:right w:val="none" w:sz="0" w:space="0" w:color="auto"/>
      </w:divBdr>
    </w:div>
    <w:div w:id="140633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4</cp:revision>
  <dcterms:created xsi:type="dcterms:W3CDTF">2020-12-19T23:18:00Z</dcterms:created>
  <dcterms:modified xsi:type="dcterms:W3CDTF">2020-12-21T10:18:00Z</dcterms:modified>
</cp:coreProperties>
</file>