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drawing>
          <wp:inline distB="114300" distT="114300" distL="114300" distR="114300">
            <wp:extent cx="1885950" cy="409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59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Gibran Hemani</w:t>
      </w:r>
    </w:p>
    <w:p w:rsidR="00000000" w:rsidDel="00000000" w:rsidP="00000000" w:rsidRDefault="00000000" w:rsidRPr="00000000" w14:paraId="00000004">
      <w:pPr>
        <w:jc w:val="right"/>
        <w:rPr/>
      </w:pPr>
      <w:r w:rsidDel="00000000" w:rsidR="00000000" w:rsidRPr="00000000">
        <w:rPr>
          <w:rtl w:val="0"/>
        </w:rPr>
        <w:t xml:space="preserve">MRC Integrative Epidemiology Unit</w:t>
      </w:r>
    </w:p>
    <w:p w:rsidR="00000000" w:rsidDel="00000000" w:rsidP="00000000" w:rsidRDefault="00000000" w:rsidRPr="00000000" w14:paraId="00000005">
      <w:pPr>
        <w:jc w:val="right"/>
        <w:rPr/>
      </w:pPr>
      <w:r w:rsidDel="00000000" w:rsidR="00000000" w:rsidRPr="00000000">
        <w:rPr>
          <w:rtl w:val="0"/>
        </w:rPr>
        <w:t xml:space="preserve">Population Health Sciences, University of Bristol</w:t>
      </w:r>
    </w:p>
    <w:p w:rsidR="00000000" w:rsidDel="00000000" w:rsidP="00000000" w:rsidRDefault="00000000" w:rsidRPr="00000000" w14:paraId="00000006">
      <w:pPr>
        <w:jc w:val="right"/>
        <w:rPr/>
      </w:pPr>
      <w:r w:rsidDel="00000000" w:rsidR="00000000" w:rsidRPr="00000000">
        <w:rPr>
          <w:rtl w:val="0"/>
        </w:rPr>
        <w:t xml:space="preserve">Oakfield House, Oakfield Grove</w:t>
      </w:r>
    </w:p>
    <w:p w:rsidR="00000000" w:rsidDel="00000000" w:rsidP="00000000" w:rsidRDefault="00000000" w:rsidRPr="00000000" w14:paraId="00000007">
      <w:pPr>
        <w:jc w:val="right"/>
        <w:rPr/>
      </w:pPr>
      <w:r w:rsidDel="00000000" w:rsidR="00000000" w:rsidRPr="00000000">
        <w:rPr>
          <w:rtl w:val="0"/>
        </w:rPr>
        <w:t xml:space="preserve">Bristol BS8 2BN</w:t>
      </w:r>
    </w:p>
    <w:p w:rsidR="00000000" w:rsidDel="00000000" w:rsidP="00000000" w:rsidRDefault="00000000" w:rsidRPr="00000000" w14:paraId="00000008">
      <w:pPr>
        <w:jc w:val="right"/>
        <w:rPr/>
      </w:pPr>
      <w:r w:rsidDel="00000000" w:rsidR="00000000" w:rsidRPr="00000000">
        <w:rPr>
          <w:rtl w:val="0"/>
        </w:rPr>
        <w:t xml:space="preserve">Tel: +44 (0) 7930951876</w:t>
      </w:r>
    </w:p>
    <w:p w:rsidR="00000000" w:rsidDel="00000000" w:rsidP="00000000" w:rsidRDefault="00000000" w:rsidRPr="00000000" w14:paraId="00000009">
      <w:pPr>
        <w:jc w:val="right"/>
        <w:rPr/>
      </w:pPr>
      <w:r w:rsidDel="00000000" w:rsidR="00000000" w:rsidRPr="00000000">
        <w:rPr>
          <w:rtl w:val="0"/>
        </w:rPr>
        <w:t xml:space="preserve">Email: g.hemani@bristol.ac.uk</w:t>
      </w:r>
    </w:p>
    <w:p w:rsidR="00000000" w:rsidDel="00000000" w:rsidP="00000000" w:rsidRDefault="00000000" w:rsidRPr="00000000" w14:paraId="0000000A">
      <w:pPr>
        <w:jc w:val="right"/>
        <w:rPr/>
      </w:pPr>
      <w:r w:rsidDel="00000000" w:rsidR="00000000" w:rsidRPr="00000000">
        <w:rPr>
          <w:rtl w:val="0"/>
        </w:rPr>
        <w:t xml:space="preserve">26th August 2020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Dear Editors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are very grateful for your consideration of our manuscript and for the comments that we have received. Below is a point by point response to each comment and we are confident that the revisions have greatly improved the manuscript.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are unsure how to restructure this paper to have sensible Results and Methods sections, as each of the main existing sections refer to our analyses and methods throughout. For example, if we were to put the results early on then the following sections would need to be split into subsections which the guidance says is not permitted. Whereas if the results came afterwards the main text then it will have been referred to several times before arising in the text. Does Nature Communications ever make exceptions on formatting?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Best wishes</w:t>
      </w:r>
    </w:p>
    <w:p w:rsidR="00000000" w:rsidDel="00000000" w:rsidP="00000000" w:rsidRDefault="00000000" w:rsidRPr="00000000" w14:paraId="00000015">
      <w:pPr>
        <w:rPr/>
      </w:pPr>
      <w:r w:rsidDel="00000000" w:rsidR="00000000" w:rsidRPr="00000000">
        <w:rPr>
          <w:rtl w:val="0"/>
        </w:rPr>
        <w:t xml:space="preserve">Gibran Hemani, on behalf of all authors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