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Simulations</w:t>
      </w:r>
      <w:r>
        <w:t xml:space="preserve"> </w:t>
      </w:r>
      <w:r>
        <w:t xml:space="preserve">to</w:t>
      </w:r>
      <w:r>
        <w:t xml:space="preserve"> </w:t>
      </w:r>
      <w:r>
        <w:t xml:space="preserve">assess</w:t>
      </w:r>
      <w:r>
        <w:t xml:space="preserve"> </w:t>
      </w:r>
      <w:r>
        <w:t xml:space="preserve">the</w:t>
      </w:r>
      <w:r>
        <w:t xml:space="preserve"> </w:t>
      </w:r>
      <w:r>
        <w:t xml:space="preserve">contribution</w:t>
      </w:r>
      <w:r>
        <w:t xml:space="preserve"> </w:t>
      </w:r>
      <w:r>
        <w:t xml:space="preserve">of</w:t>
      </w:r>
      <w:r>
        <w:t xml:space="preserve"> </w:t>
      </w:r>
      <w:r>
        <w:t xml:space="preserve">survival</w:t>
      </w:r>
      <w:r>
        <w:t xml:space="preserve"> </w:t>
      </w:r>
      <w:r>
        <w:t xml:space="preserve">bias</w:t>
      </w:r>
      <w:r>
        <w:t xml:space="preserve"> </w:t>
      </w:r>
      <w:r>
        <w:t xml:space="preserve">to</w:t>
      </w:r>
      <w:r>
        <w:t xml:space="preserve"> </w:t>
      </w:r>
      <w:r>
        <w:t xml:space="preserve">protective</w:t>
      </w:r>
      <w:r>
        <w:t xml:space="preserve"> </w:t>
      </w:r>
      <w:r>
        <w:t xml:space="preserve">associations</w:t>
      </w:r>
      <w:r>
        <w:t xml:space="preserve"> </w:t>
      </w:r>
      <w:r>
        <w:t xml:space="preserve">of</w:t>
      </w:r>
      <w:r>
        <w:t xml:space="preserve"> </w:t>
      </w:r>
      <w:r>
        <w:t xml:space="preserve">body</w:t>
      </w:r>
      <w:r>
        <w:t xml:space="preserve"> </w:t>
      </w:r>
      <w:r>
        <w:t xml:space="preserve">mass</w:t>
      </w:r>
      <w:r>
        <w:t xml:space="preserve"> </w:t>
      </w:r>
      <w:r>
        <w:t xml:space="preserve">index</w:t>
      </w:r>
      <w:r>
        <w:t xml:space="preserve"> </w:t>
      </w:r>
      <w:r>
        <w:t xml:space="preserve">and</w:t>
      </w:r>
      <w:r>
        <w:t xml:space="preserve"> </w:t>
      </w:r>
      <w:r>
        <w:t xml:space="preserve">Parkinson's</w:t>
      </w:r>
      <w:r>
        <w:t xml:space="preserve"> </w:t>
      </w:r>
      <w:r>
        <w:t xml:space="preserve">disease</w:t>
      </w:r>
    </w:p>
    <w:p>
      <w:pPr>
        <w:pStyle w:val="Date"/>
      </w:pPr>
      <w:r>
        <w:t xml:space="preserve">2016-09-21</w:t>
      </w:r>
    </w:p>
    <w:p>
      <w:pPr>
        <w:pStyle w:val="Heading2"/>
      </w:pPr>
      <w:bookmarkStart w:id="21" w:name="simulation-strategy"/>
      <w:bookmarkEnd w:id="21"/>
      <w:r>
        <w:t xml:space="preserve">Simulation strategy</w:t>
      </w:r>
    </w:p>
    <w:p>
      <w:r>
        <w:t xml:space="preserve">We construct a model whereby Parkinson's disease (PD) is not biologically related to body mass index (BMI), but BMI is associated with mortality, and PD is associated with age</w:t>
      </w:r>
    </w:p>
    <w:p>
      <w:pPr>
        <w:pStyle w:val="SourceCode"/>
      </w:pPr>
      <w:r>
        <w:rPr>
          <w:rStyle w:val="VerbatimChar"/>
        </w:rPr>
        <w:t xml:space="preserve">BMI ~ snp(s)</w:t>
      </w:r>
      <w:r>
        <w:br w:type="textWrapping"/>
      </w:r>
      <w:r>
        <w:rPr>
          <w:rStyle w:val="VerbatimChar"/>
        </w:rPr>
        <w:t xml:space="preserve">mortality ~ age + BMI</w:t>
      </w:r>
      <w:r>
        <w:br w:type="textWrapping"/>
      </w:r>
      <w:r>
        <w:rPr>
          <w:rStyle w:val="VerbatimChar"/>
        </w:rPr>
        <w:t xml:space="preserve">PD ~ age</w:t>
      </w:r>
    </w:p>
    <w:p>
      <w:r>
        <w:t xml:space="preserve">We simulated a large population (</w:t>
      </w:r>
      <m:oMath>
        <m:r>
          <m:rPr>
            <m:sty m:val="p"/>
          </m:rPr>
          <m:t>n</m:t>
        </m:r>
        <m:r>
          <m:rPr>
            <m:sty m:val="p"/>
          </m:rPr>
          <m:t>=</m:t>
        </m:r>
        <m:r>
          <m:rPr>
            <m:sty m:val="p"/>
          </m:rPr>
          <m:t>500000</m:t>
        </m:r>
      </m:oMath>
      <w:r>
        <w:t xml:space="preserve">) where each individual has alleles at 77 BMI associated SNPs</w:t>
      </w:r>
      <w:r>
        <w:t xml:space="preserve"> </w:t>
      </w:r>
      <w:r>
        <w:t xml:space="preserve">(Locke et al. 2015)</w:t>
      </w:r>
      <w:r>
        <w:t xml:space="preserve"> </w:t>
      </w:r>
      <w:r>
        <w:t xml:space="preserve">(using only LD independent SNPs out of the reported 97, r-square cutoff 0.001 within 10Mb windows). PD status, age values, BMI values, and alive/dead status are also simulated.</w:t>
      </w:r>
    </w:p>
    <w:p>
      <w:r>
        <w:t xml:space="preserve">Age values are generated to match the reported age distributions in</w:t>
      </w:r>
      <w:r>
        <w:t xml:space="preserve"> </w:t>
      </w:r>
      <w:r>
        <w:t xml:space="preserve">(M. A. Nalls et al. 2014)</w:t>
      </w:r>
      <w:r>
        <w:t xml:space="preserve">. BMI SNPs are generated as a function of their allele frequencies, such that for individual</w:t>
      </w:r>
      <w:r>
        <w:t xml:space="preserve"> </w:t>
      </w:r>
      <m:oMath>
        <m:r>
          <m:rPr>
            <m:sty m:val="p"/>
          </m:rPr>
          <m:t>i</m:t>
        </m:r>
      </m:oMath>
      <w:r>
        <w:t xml:space="preserve"> </w:t>
      </w:r>
      <w:r>
        <w:t xml:space="preserve">at SNP</w:t>
      </w:r>
      <w:r>
        <w:t xml:space="preserve"> </w:t>
      </w:r>
      <m:oMath>
        <m:r>
          <m:rPr>
            <m:sty m:val="p"/>
          </m:rPr>
          <m:t>j</m:t>
        </m:r>
      </m:oMath>
      <w:r>
        <w:t xml:space="preserve"> </w:t>
      </w:r>
      <w:r>
        <w:t xml:space="preserve">their genotype value is</w:t>
      </w:r>
      <w:r>
        <w:t xml:space="preserve"> </w:t>
      </w:r>
      <m:oMath>
        <m:sSub>
          <m:e>
            <m:r>
              <m:rPr>
                <m:sty m:val="p"/>
              </m:rPr>
              <m:t>g</m:t>
            </m:r>
          </m:e>
          <m:sub>
            <m:r>
              <m:rPr>
                <m:sty m:val="p"/>
              </m:rPr>
              <m:t>i</m:t>
            </m:r>
            <m:r>
              <m:rPr>
                <m:sty m:val="p"/>
              </m:rPr>
              <m:t>j</m:t>
            </m:r>
          </m:sub>
        </m:sSub>
        <m:r>
          <m:rPr>
            <m:sty m:val="p"/>
          </m:rPr>
          <m:t> </m:t>
        </m:r>
        <m:r>
          <m:rPr>
            <m:sty m:val="p"/>
          </m:rPr>
          <m:t>B</m:t>
        </m:r>
        <m:r>
          <m:rPr>
            <m:sty m:val="p"/>
          </m:rPr>
          <m:t>i</m:t>
        </m:r>
        <m:r>
          <m:rPr>
            <m:sty m:val="p"/>
          </m:rPr>
          <m:t>n</m:t>
        </m:r>
        <m:r>
          <m:rPr>
            <m:sty m:val="p"/>
          </m:rPr>
          <m:t>o</m:t>
        </m:r>
        <m:r>
          <m:rPr>
            <m:sty m:val="p"/>
          </m:rPr>
          <m:t>m</m:t>
        </m:r>
        <m:r>
          <m:rPr>
            <m:sty m:val="p"/>
          </m:rPr>
          <m:t>(</m:t>
        </m:r>
        <m:r>
          <m:rPr>
            <m:sty m:val="p"/>
          </m:rPr>
          <m:t>2</m:t>
        </m:r>
        <m:r>
          <m:rPr>
            <m:sty m:val="p"/>
          </m:rPr>
          <m:t>,</m:t>
        </m:r>
        <m:sSub>
          <m:e>
            <m:r>
              <m:rPr>
                <m:sty m:val="p"/>
              </m:rPr>
              <m:t>p</m:t>
            </m:r>
          </m:e>
          <m:sub>
            <m:r>
              <m:rPr>
                <m:sty m:val="p"/>
              </m:rPr>
              <m:t>j</m:t>
            </m:r>
          </m:sub>
        </m:sSub>
        <m:r>
          <m:rPr>
            <m:sty m:val="p"/>
          </m:rPr>
          <m:t>)</m:t>
        </m:r>
      </m:oMath>
      <w:r>
        <w:t xml:space="preserve"> </w:t>
      </w:r>
      <w:r>
        <w:t xml:space="preserve">where</w:t>
      </w:r>
      <w:r>
        <w:t xml:space="preserve"> </w:t>
      </w:r>
      <m:oMath>
        <m:sSub>
          <m:e>
            <m:r>
              <m:rPr>
                <m:sty m:val="p"/>
              </m:rPr>
              <m:t>p</m:t>
            </m:r>
          </m:e>
          <m:sub>
            <m:r>
              <m:rPr>
                <m:sty m:val="p"/>
              </m:rPr>
              <m:t>j</m:t>
            </m:r>
          </m:sub>
        </m:sSub>
      </m:oMath>
      <w:r>
        <w:t xml:space="preserve"> </w:t>
      </w:r>
      <w:r>
        <w:t xml:space="preserve">is the allele frequency of SNP</w:t>
      </w:r>
      <w:r>
        <w:t xml:space="preserve"> </w:t>
      </w:r>
      <m:oMath>
        <m:r>
          <m:rPr>
            <m:sty m:val="p"/>
          </m:rPr>
          <m:t>j</m:t>
        </m:r>
      </m:oMath>
      <w:r>
        <w:t xml:space="preserve">. The BMI values are a function of the BMI SNPs, such that</w:t>
      </w:r>
    </w:p>
    <w:p>
      <m:oMathPara>
        <m:oMathParaPr>
          <m:jc m:val="center"/>
        </m:oMathParaPr>
        <m:oMath>
          <m:sSub>
            <m:e>
              <m:r>
                <m:rPr>
                  <m:sty m:val="p"/>
                </m:rPr>
                <m:t>x</m:t>
              </m:r>
            </m:e>
            <m:sub>
              <m:r>
                <m:rPr>
                  <m:sty m:val="p"/>
                </m:rPr>
                <m:t>i</m:t>
              </m:r>
            </m:sub>
          </m:sSub>
          <m:r>
            <m:rPr>
              <m:sty m:val="p"/>
            </m:rPr>
            <m:t>=</m:t>
          </m:r>
          <m:r>
            <m:rPr>
              <m:sty m:val="p"/>
            </m:rPr>
            <m:t>∑</m:t>
          </m:r>
          <m:sSub>
            <m:e>
              <m:r>
                <m:rPr>
                  <m:sty m:val="p"/>
                </m:rPr>
                <m:t>g</m:t>
              </m:r>
            </m:e>
            <m:sub>
              <m:r>
                <m:rPr>
                  <m:sty m:val="p"/>
                </m:rPr>
                <m:t>i</m:t>
              </m:r>
              <m:r>
                <m:rPr>
                  <m:sty m:val="p"/>
                </m:rPr>
                <m:t>j</m:t>
              </m:r>
            </m:sub>
          </m:sSub>
          <m:sSub>
            <m:e>
              <m:r>
                <m:rPr>
                  <m:sty m:val="p"/>
                </m:rPr>
                <m:t>β</m:t>
              </m:r>
            </m:e>
            <m:sub>
              <m:r>
                <m:rPr>
                  <m:sty m:val="p"/>
                </m:rPr>
                <m:t>j</m:t>
              </m:r>
            </m:sub>
          </m:sSub>
          <m:r>
            <m:rPr>
              <m:sty m:val="p"/>
            </m:rPr>
            <m:t>+</m:t>
          </m:r>
          <m:sSub>
            <m:e>
              <m:r>
                <m:rPr>
                  <m:sty m:val="p"/>
                </m:rPr>
                <m:t>e</m:t>
              </m:r>
            </m:e>
            <m:sub>
              <m:r>
                <m:rPr>
                  <m:sty m:val="p"/>
                </m:rPr>
                <m:t>j</m:t>
              </m:r>
            </m:sub>
          </m:sSub>
        </m:oMath>
      </m:oMathPara>
    </w:p>
    <w:p>
      <w:r>
        <w:t xml:space="preserve">where</w:t>
      </w:r>
      <w:r>
        <w:t xml:space="preserve"> </w:t>
      </w:r>
      <m:oMath>
        <m:sSub>
          <m:e>
            <m:r>
              <m:rPr>
                <m:sty m:val="p"/>
              </m:rPr>
              <m:t>e</m:t>
            </m:r>
          </m:e>
          <m:sub>
            <m:r>
              <m:rPr>
                <m:sty m:val="p"/>
              </m:rPr>
              <m:t>j</m:t>
            </m:r>
          </m:sub>
        </m:sSub>
        <m:r>
          <m:rPr>
            <m:sty m:val="p"/>
          </m:rPr>
          <m:t>∼</m:t>
        </m:r>
        <m:r>
          <m:rPr>
            <m:sty m:val="p"/>
          </m:rPr>
          <m:t>N</m:t>
        </m:r>
        <m:r>
          <m:rPr>
            <m:sty m:val="p"/>
          </m:rPr>
          <m:t>(</m:t>
        </m:r>
        <m:r>
          <m:rPr>
            <m:sty m:val="p"/>
          </m:rPr>
          <m:t>0</m:t>
        </m:r>
        <m:r>
          <m:rPr>
            <m:sty m:val="p"/>
          </m:rPr>
          <m:t>,</m:t>
        </m:r>
        <m:sSub>
          <m:e>
            <m:r>
              <m:rPr>
                <m:sty m:val="p"/>
              </m:rPr>
              <m:t>V</m:t>
            </m:r>
          </m:e>
          <m:sub>
            <m:r>
              <m:rPr>
                <m:sty m:val="p"/>
              </m:rPr>
              <m:t>E</m:t>
            </m:r>
          </m:sub>
        </m:sSub>
        <m:r>
          <m:rPr>
            <m:sty m:val="p"/>
          </m:rPr>
          <m:t>)</m:t>
        </m:r>
      </m:oMath>
      <w:r>
        <w:t xml:space="preserve">, where the genetic variance</w:t>
      </w:r>
      <w:r>
        <w:t xml:space="preserve"> </w:t>
      </w:r>
      <m:oMath>
        <m:sSub>
          <m:e>
            <m:r>
              <m:rPr>
                <m:sty m:val="p"/>
              </m:rPr>
              <m:t>V</m:t>
            </m:r>
          </m:e>
          <m:sub>
            <m:r>
              <m:rPr>
                <m:sty m:val="p"/>
              </m:rPr>
              <m:t>G</m:t>
            </m:r>
          </m:sub>
        </m:sSub>
        <m:r>
          <m:rPr>
            <m:sty m:val="p"/>
          </m:rPr>
          <m:t>=</m:t>
        </m:r>
        <m:r>
          <m:rPr>
            <m:sty m:val="p"/>
          </m:rPr>
          <m:t>∑</m:t>
        </m:r>
        <m:r>
          <m:rPr>
            <m:sty m:val="p"/>
          </m:rPr>
          <m:t>2</m:t>
        </m:r>
        <m:sSub>
          <m:e>
            <m:r>
              <m:rPr>
                <m:sty m:val="p"/>
              </m:rPr>
              <m:t>p</m:t>
            </m:r>
          </m:e>
          <m:sub>
            <m:r>
              <m:rPr>
                <m:sty m:val="p"/>
              </m:rPr>
              <m:t>j</m:t>
            </m:r>
          </m:sub>
        </m:sSub>
        <m:r>
          <m:rPr>
            <m:sty m:val="p"/>
          </m:rPr>
          <m:t>(</m:t>
        </m:r>
        <m:r>
          <m:rPr>
            <m:sty m:val="p"/>
          </m:rPr>
          <m:t>1</m:t>
        </m:r>
        <m:r>
          <m:rPr>
            <m:sty m:val="p"/>
          </m:rPr>
          <m:t>−</m:t>
        </m:r>
        <m:sSub>
          <m:e>
            <m:r>
              <m:rPr>
                <m:sty m:val="p"/>
              </m:rPr>
              <m:t>p</m:t>
            </m:r>
          </m:e>
          <m:sub>
            <m:r>
              <m:rPr>
                <m:sty m:val="p"/>
              </m:rPr>
              <m:t>j</m:t>
            </m:r>
          </m:sub>
        </m:sSub>
        <m:r>
          <m:rPr>
            <m:sty m:val="p"/>
          </m:rPr>
          <m:t>)</m:t>
        </m:r>
        <m:sSubSup>
          <m:e>
            <m:r>
              <m:rPr>
                <m:sty m:val="p"/>
              </m:rPr>
              <m:t>β</m:t>
            </m:r>
          </m:e>
          <m:sub>
            <m:r>
              <m:rPr>
                <m:sty m:val="p"/>
              </m:rPr>
              <m:t>j</m:t>
            </m:r>
          </m:sub>
          <m:sup>
            <m:r>
              <m:rPr>
                <m:sty m:val="p"/>
              </m:rPr>
              <m:t>2</m:t>
            </m:r>
          </m:sup>
        </m:sSubSup>
      </m:oMath>
      <w:r>
        <w:t xml:space="preserve"> </w:t>
      </w:r>
      <w:r>
        <w:t xml:space="preserve">and residual variance</w:t>
      </w:r>
      <w:r>
        <w:t xml:space="preserve"> </w:t>
      </w:r>
      <m:oMath>
        <m:sSub>
          <m:e>
            <m:r>
              <m:rPr>
                <m:sty m:val="p"/>
              </m:rPr>
              <m:t>V</m:t>
            </m:r>
          </m:e>
          <m:sub>
            <m:r>
              <m:rPr>
                <m:sty m:val="p"/>
              </m:rPr>
              <m:t>E</m:t>
            </m:r>
          </m:sub>
        </m:sSub>
        <m:r>
          <m:rPr>
            <m:sty m:val="p"/>
          </m:rPr>
          <m:t>=</m:t>
        </m:r>
        <m:sSub>
          <m:e>
            <m:r>
              <m:rPr>
                <m:sty m:val="p"/>
              </m:rPr>
              <m:t>V</m:t>
            </m:r>
          </m:e>
          <m:sub>
            <m:r>
              <m:rPr>
                <m:sty m:val="p"/>
              </m:rPr>
              <m:t>P</m:t>
            </m:r>
          </m:sub>
        </m:sSub>
        <m:r>
          <m:rPr>
            <m:sty m:val="p"/>
          </m:rPr>
          <m:t>−</m:t>
        </m:r>
        <m:sSub>
          <m:e>
            <m:r>
              <m:rPr>
                <m:sty m:val="p"/>
              </m:rPr>
              <m:t>V</m:t>
            </m:r>
          </m:e>
          <m:sub>
            <m:r>
              <m:rPr>
                <m:sty m:val="p"/>
              </m:rPr>
              <m:t>G</m:t>
            </m:r>
          </m:sub>
        </m:sSub>
      </m:oMath>
      <w:r>
        <w:t xml:space="preserve">. The phenotypic variance,</w:t>
      </w:r>
      <w:r>
        <w:t xml:space="preserve"> </w:t>
      </w:r>
      <m:oMath>
        <m:sSub>
          <m:e>
            <m:r>
              <m:rPr>
                <m:sty m:val="p"/>
              </m:rPr>
              <m:t>V</m:t>
            </m:r>
          </m:e>
          <m:sub>
            <m:r>
              <m:rPr>
                <m:sty m:val="p"/>
              </m:rPr>
              <m:t>P</m:t>
            </m:r>
          </m:sub>
        </m:sSub>
      </m:oMath>
      <w:r>
        <w:t xml:space="preserve">, is the variance of BMI that was used to obtain the effect sizes.</w:t>
      </w:r>
    </w:p>
    <w:p>
      <w:r>
        <w:t xml:space="preserve">PD status was simulated as a function of age, based on age related incidence obtained from</w:t>
      </w:r>
      <w:r>
        <w:t xml:space="preserve"> </w:t>
      </w:r>
      <w:r>
        <w:t xml:space="preserve">(Driver et al. 2009)</w:t>
      </w:r>
      <w:r>
        <w:t xml:space="preserve">. Alive/dead status was modelled as a function of age and BMI values. The baseline survival function was generated from the Gompertz-Makeham law of mortality, with age related hazard function</w:t>
      </w:r>
    </w:p>
    <w:p>
      <m:oMathPara>
        <m:oMathParaPr>
          <m:jc m:val="center"/>
        </m:oMathParaPr>
        <m:oMath>
          <m:r>
            <m:rPr>
              <m:sty m:val="p"/>
            </m:rPr>
            <m:t>h</m:t>
          </m:r>
          <m:r>
            <m:rPr>
              <m:sty m:val="p"/>
            </m:rPr>
            <m:t>(</m:t>
          </m:r>
          <m:r>
            <m:rPr>
              <m:sty m:val="p"/>
            </m:rPr>
            <m:t>t</m:t>
          </m:r>
          <m:r>
            <m:rPr>
              <m:sty m:val="p"/>
            </m:rPr>
            <m:t>)</m:t>
          </m:r>
          <m:r>
            <m:rPr>
              <m:sty m:val="p"/>
            </m:rPr>
            <m:t>=</m:t>
          </m:r>
          <m:r>
            <m:rPr>
              <m:sty m:val="p"/>
            </m:rPr>
            <m:t>a</m:t>
          </m:r>
          <m:r>
            <m:rPr>
              <m:sty m:val="p"/>
            </m:rPr>
            <m:t>exp</m:t>
          </m:r>
          <m:r>
            <m:rPr>
              <m:sty m:val="p"/>
            </m:rPr>
            <m:t>(</m:t>
          </m:r>
          <m:r>
            <m:rPr>
              <m:sty m:val="p"/>
            </m:rPr>
            <m:t>b</m:t>
          </m:r>
          <m:r>
            <m:rPr>
              <m:sty m:val="p"/>
            </m:rPr>
            <m:t>t</m:t>
          </m:r>
          <m:r>
            <m:rPr>
              <m:sty m:val="p"/>
            </m:rPr>
            <m:t>)</m:t>
          </m:r>
          <m:r>
            <m:rPr>
              <m:sty m:val="p"/>
            </m:rPr>
            <m:t>+</m:t>
          </m:r>
          <m:r>
            <m:rPr>
              <m:sty m:val="p"/>
            </m:rPr>
            <m:t>λ</m:t>
          </m:r>
        </m:oMath>
      </m:oMathPara>
    </w:p>
    <w:p>
      <w:r>
        <w:t xml:space="preserve">which has CDF</w:t>
      </w:r>
    </w:p>
    <w:p>
      <m:oMathPara>
        <m:oMathParaPr>
          <m:jc m:val="center"/>
        </m:oMathParaPr>
        <m:oMath>
          <m:r>
            <m:rPr>
              <m:sty m:val="p"/>
            </m:rPr>
            <m:t>F</m:t>
          </m:r>
          <m:r>
            <m:rPr>
              <m:sty m:val="p"/>
            </m:rPr>
            <m:t>(</m:t>
          </m:r>
          <m:r>
            <m:rPr>
              <m:sty m:val="p"/>
            </m:rPr>
            <m:t>t</m:t>
          </m:r>
          <m:r>
            <m:rPr>
              <m:sty m:val="p"/>
            </m:rPr>
            <m:t>)</m:t>
          </m:r>
          <m:r>
            <m:rPr>
              <m:sty m:val="p"/>
            </m:rPr>
            <m:t>=</m:t>
          </m:r>
          <m:r>
            <m:rPr>
              <m:sty m:val="p"/>
            </m:rPr>
            <m:t>1</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giving the baseline survival function:</w:t>
      </w:r>
    </w:p>
    <w:p>
      <m:oMathPara>
        <m:oMathParaPr>
          <m:jc m:val="center"/>
        </m:oMathParaPr>
        <m:oMath>
          <m:sSub>
            <m:e>
              <m:r>
                <m:rPr>
                  <m:sty m:val="p"/>
                </m:rPr>
                <m:t>S</m:t>
              </m:r>
            </m:e>
            <m:sub>
              <m:r>
                <m:rPr>
                  <m:sty m:val="p"/>
                </m:rPr>
                <m:t>b</m:t>
              </m:r>
            </m:sub>
          </m:sSub>
          <m:r>
            <m:rPr>
              <m:sty m:val="p"/>
            </m:rPr>
            <m:t>(</m:t>
          </m:r>
          <m:r>
            <m:rPr>
              <m:sty m:val="p"/>
            </m:rPr>
            <m:t>t</m:t>
          </m:r>
          <m:r>
            <m:rPr>
              <m:sty m:val="p"/>
            </m:rPr>
            <m:t>)</m:t>
          </m:r>
          <m:r>
            <m:rPr>
              <m:sty m:val="p"/>
            </m:rPr>
            <m:t>=</m:t>
          </m:r>
          <m:r>
            <m:rPr>
              <m:sty m:val="p"/>
            </m:rPr>
            <m:t>1</m:t>
          </m:r>
          <m:r>
            <m:rPr>
              <m:sty m:val="p"/>
            </m:rPr>
            <m:t>−</m:t>
          </m:r>
          <m:r>
            <m:rPr>
              <m:sty m:val="p"/>
            </m:rPr>
            <m:t>F</m:t>
          </m:r>
          <m:r>
            <m:rPr>
              <m:sty m:val="p"/>
            </m:rPr>
            <m:t>(</m:t>
          </m:r>
          <m:r>
            <m:rPr>
              <m:sty m:val="p"/>
            </m:rPr>
            <m:t>t</m:t>
          </m:r>
          <m:r>
            <m:rPr>
              <m:sty m:val="p"/>
            </m:rPr>
            <m:t>)</m:t>
          </m:r>
          <m:r>
            <m:rPr>
              <m:sty m:val="p"/>
            </m:rPr>
            <m:t>=</m:t>
          </m:r>
          <m:r>
            <m:rPr>
              <m:sty m:val="p"/>
            </m:rPr>
            <m:t>−</m:t>
          </m:r>
          <m:r>
            <m:rPr>
              <m:sty m:val="p"/>
            </m:rPr>
            <m:t>exp</m:t>
          </m:r>
          <m:r>
            <m:rPr>
              <m:sty m:val="p"/>
            </m:rPr>
            <m:t>(</m:t>
          </m:r>
          <m:r>
            <m:rPr>
              <m:sty m:val="p"/>
            </m:rPr>
            <m:t>−</m:t>
          </m:r>
          <m:r>
            <m:rPr>
              <m:sty m:val="p"/>
            </m:rPr>
            <m:t>λ</m:t>
          </m:r>
          <m:r>
            <m:rPr>
              <m:sty m:val="p"/>
            </m:rPr>
            <m:t>t</m:t>
          </m:r>
          <m:r>
            <m:rPr>
              <m:sty m:val="p"/>
            </m:rPr>
            <m:t>−</m:t>
          </m:r>
          <m:f>
            <m:fPr>
              <m:type m:val="bar"/>
            </m:fPr>
            <m:num>
              <m:r>
                <m:rPr>
                  <m:sty m:val="p"/>
                </m:rPr>
                <m:t>a</m:t>
              </m:r>
            </m:num>
            <m:den>
              <m:r>
                <m:rPr>
                  <m:sty m:val="p"/>
                </m:rPr>
                <m:t>b</m:t>
              </m:r>
            </m:den>
          </m:f>
          <m:r>
            <m:rPr>
              <m:sty m:val="p"/>
            </m:rPr>
            <m:t>(</m:t>
          </m:r>
          <m:sSup>
            <m:e>
              <m:r>
                <m:rPr>
                  <m:sty m:val="p"/>
                </m:rPr>
                <m:t>e</m:t>
              </m:r>
            </m:e>
            <m:sup>
              <m:r>
                <m:rPr>
                  <m:sty m:val="p"/>
                </m:rPr>
                <m:t>b</m:t>
              </m:r>
              <m:r>
                <m:rPr>
                  <m:sty m:val="p"/>
                </m:rPr>
                <m:t>t</m:t>
              </m:r>
            </m:sup>
          </m:sSup>
          <m:r>
            <m:rPr>
              <m:sty m:val="p"/>
            </m:rPr>
            <m:t>−</m:t>
          </m:r>
          <m:r>
            <m:rPr>
              <m:sty m:val="p"/>
            </m:rPr>
            <m:t>1</m:t>
          </m:r>
          <m:r>
            <m:rPr>
              <m:sty m:val="p"/>
            </m:rPr>
            <m:t>)</m:t>
          </m:r>
          <m:r>
            <m:rPr>
              <m:sty m:val="p"/>
            </m:rPr>
            <m:t>)</m:t>
          </m:r>
        </m:oMath>
      </m:oMathPara>
    </w:p>
    <w:p>
      <w:r>
        <w:t xml:space="preserve">The influence of BMI on survival is then incorporated into the full survival model as</w:t>
      </w:r>
    </w:p>
    <w:p>
      <m:oMathPara>
        <m:oMathParaPr>
          <m:jc m:val="center"/>
        </m:oMathParaPr>
        <m:oMath>
          <m:r>
            <m:rPr>
              <m:sty m:val="p"/>
            </m:rPr>
            <m:t>S</m:t>
          </m:r>
          <m:r>
            <m:rPr>
              <m:sty m:val="p"/>
            </m:rPr>
            <m:t>(</m:t>
          </m:r>
          <m:r>
            <m:rPr>
              <m:sty m:val="p"/>
            </m:rPr>
            <m:t>t</m:t>
          </m:r>
          <m:r>
            <m:rPr>
              <m:sty m:val="p"/>
            </m:rPr>
            <m:t>)</m:t>
          </m:r>
          <m:r>
            <m:rPr>
              <m:sty m:val="p"/>
            </m:rPr>
            <m:t>=</m:t>
          </m:r>
          <m:sSub>
            <m:e>
              <m:r>
                <m:rPr>
                  <m:sty m:val="p"/>
                </m:rPr>
                <m:t>S</m:t>
              </m:r>
            </m:e>
            <m:sub>
              <m:r>
                <m:rPr>
                  <m:sty m:val="p"/>
                </m:rPr>
                <m:t>b</m:t>
              </m:r>
            </m:sub>
          </m:sSub>
          <m:r>
            <m:rPr>
              <m:sty m:val="p"/>
            </m:rPr>
            <m:t>(</m:t>
          </m:r>
          <m:r>
            <m:rPr>
              <m:sty m:val="p"/>
            </m:rPr>
            <m:t>t</m:t>
          </m:r>
          <m:sSup>
            <m:e>
              <m:r>
                <m:rPr>
                  <m:sty m:val="p"/>
                </m:rPr>
                <m:t>)</m:t>
              </m:r>
            </m:e>
            <m:sup>
              <m:r>
                <m:rPr>
                  <m:sty m:val="p"/>
                </m:rPr>
                <m:t>w</m:t>
              </m:r>
              <m:r>
                <m:rPr>
                  <m:sty m:val="p"/>
                </m:rPr>
                <m:t>(</m:t>
              </m:r>
              <m:r>
                <m:rPr>
                  <m:sty m:val="p"/>
                </m:rPr>
                <m:t>x</m:t>
              </m:r>
              <m:r>
                <m:rPr>
                  <m:sty m:val="p"/>
                </m:rPr>
                <m:t>)</m:t>
              </m:r>
            </m:sup>
          </m:sSup>
        </m:oMath>
      </m:oMathPara>
    </w:p>
    <w:p>
      <w:r>
        <w:t xml:space="preserve">where</w:t>
      </w:r>
      <w:r>
        <w:t xml:space="preserve"> </w:t>
      </w:r>
      <m:oMath>
        <m:r>
          <m:rPr>
            <m:sty m:val="p"/>
          </m:rPr>
          <m:t>x</m:t>
        </m:r>
      </m:oMath>
      <w:r>
        <w:t xml:space="preserve"> </w:t>
      </w:r>
      <w:r>
        <w:t xml:space="preserve">is the BMI value and</w:t>
      </w:r>
      <w:r>
        <w:t xml:space="preserve"> </w:t>
      </w:r>
      <m:oMath>
        <m:r>
          <m:rPr>
            <m:sty m:val="p"/>
          </m:rPr>
          <m:t>w</m:t>
        </m:r>
        <m:r>
          <m:rPr>
            <m:sty m:val="p"/>
          </m:rPr>
          <m:t>(</m:t>
        </m:r>
        <m:r>
          <m:rPr>
            <m:sty m:val="p"/>
          </m:rPr>
          <m:t>x</m:t>
        </m:r>
        <m:r>
          <m:rPr>
            <m:sty m:val="p"/>
          </m:rPr>
          <m:t>)</m:t>
        </m:r>
      </m:oMath>
      <w:r>
        <w:t xml:space="preserve"> </w:t>
      </w:r>
      <w:r>
        <w:t xml:space="preserve">is a function that uses external data to relate BMI with mortality. Following</w:t>
      </w:r>
      <w:r>
        <w:t xml:space="preserve"> </w:t>
      </w:r>
      <w:r>
        <w:t xml:space="preserve">(</w:t>
      </w:r>
      <w:r>
        <w:t xml:space="preserve">Davey Smith</w:t>
      </w:r>
      <w:r>
        <w:t xml:space="preserve"> </w:t>
      </w:r>
      <w:r>
        <w:t xml:space="preserve">et al. 2009)</w:t>
      </w:r>
      <w:r>
        <w:t xml:space="preserve">, a causal effect on all-cause mortality hazard ratios of 1.16 per standard deviation increase in BMI was simulated.</w:t>
      </w:r>
    </w:p>
    <w:p>
      <w:r>
        <w:t xml:space="preserve">Once these simulated data are generated, only 'alive' individuals are retained, and individuals are then selected for MR analysis. 13,708 PD individuals and 95,282 non-PD individuals are sampled based on the distribution of ages of cases and controls in the original PD GWAS</w:t>
      </w:r>
      <w:r>
        <w:t xml:space="preserve"> </w:t>
      </w:r>
      <w:r>
        <w:t xml:space="preserve">(M. A. Nalls et al. 2014)</w:t>
      </w:r>
      <w:r>
        <w:t xml:space="preserve">, such that the mean age of the cases are 60.6 years old, and of controls are 53.1 years old. Finally, two sample MR analysis is applied to the selected individuals from these simulated data.</w:t>
      </w:r>
    </w:p>
    <w:p>
      <w:r>
        <w:t xml:space="preserve">This procedure is repeated 1000 times to obtain an empirical distribution of frailty effects for the given parameters.</w:t>
      </w:r>
    </w:p>
    <w:p>
      <w:pPr>
        <w:pStyle w:val="Heading2"/>
      </w:pPr>
      <w:bookmarkStart w:id="22" w:name="references"/>
      <w:bookmarkEnd w:id="22"/>
      <w:r>
        <w:t xml:space="preserve">References</w:t>
      </w:r>
    </w:p>
    <w:p>
      <w:pPr>
        <w:pStyle w:val="Bibliography"/>
      </w:pPr>
      <w:r>
        <w:t xml:space="preserve">Davey Smith</w:t>
      </w:r>
      <w:r>
        <w:t xml:space="preserve">, George, Jonathan AC Sterne, Abigail Fraser, Per Tynelius, Debbie A Lawlor, and Finn Rasmussen. 2009. “The association between BMI and mortality using offspring BMI as an indicator of own BMI: large intergenerational mortality study.”</w:t>
      </w:r>
      <w:r>
        <w:t xml:space="preserve"> </w:t>
      </w:r>
      <w:r>
        <w:rPr>
          <w:i/>
        </w:rPr>
        <w:t xml:space="preserve">BMJ</w:t>
      </w:r>
      <w:r>
        <w:t xml:space="preserve"> </w:t>
      </w:r>
      <w:r>
        <w:t xml:space="preserve">339.</w:t>
      </w:r>
    </w:p>
    <w:p>
      <w:pPr>
        <w:pStyle w:val="Bibliography"/>
      </w:pPr>
      <w:r>
        <w:t xml:space="preserve">Driver, Jane A., Giancarlo Logroscino, J. Michael Gaziano, and Tobias Kurth. 2009. “Incidence and remaining lifetime risk of Parkinson disease in advanced age.”</w:t>
      </w:r>
      <w:r>
        <w:t xml:space="preserve"> </w:t>
      </w:r>
      <w:r>
        <w:rPr>
          <w:i/>
        </w:rPr>
        <w:t xml:space="preserve">Neurology</w:t>
      </w:r>
      <w:r>
        <w:t xml:space="preserve"> </w:t>
      </w:r>
      <w:r>
        <w:t xml:space="preserve">72 (5): 432–38. doi:</w:t>
      </w:r>
      <w:hyperlink r:id="rId23">
        <w:r>
          <w:rPr>
            <w:rStyle w:val="Link"/>
          </w:rPr>
          <w:t xml:space="preserve">10.1212/01.wnl.0000341769.50075.bb</w:t>
        </w:r>
      </w:hyperlink>
      <w:r>
        <w:t xml:space="preserve">.</w:t>
      </w:r>
    </w:p>
    <w:p>
      <w:pPr>
        <w:pStyle w:val="Bibliography"/>
      </w:pPr>
      <w:r>
        <w:t xml:space="preserve">Locke, Adam E., Bratati Kahali, Sonja I. Berndt, Anne E. Justice, Tune H. Pers, Felix R. Day, Corey Powell, et al. 2015. “Genetic studies of body mass index yield new insights for obesity biology.”</w:t>
      </w:r>
      <w:r>
        <w:t xml:space="preserve"> </w:t>
      </w:r>
      <w:r>
        <w:rPr>
          <w:i/>
        </w:rPr>
        <w:t xml:space="preserve">Nature</w:t>
      </w:r>
      <w:r>
        <w:t xml:space="preserve"> </w:t>
      </w:r>
      <w:r>
        <w:t xml:space="preserve">518 (7538): 197–206. doi:</w:t>
      </w:r>
      <w:hyperlink r:id="rId24">
        <w:r>
          <w:rPr>
            <w:rStyle w:val="Link"/>
          </w:rPr>
          <w:t xml:space="preserve">10.1038/nature14177</w:t>
        </w:r>
      </w:hyperlink>
      <w:r>
        <w:t xml:space="preserve">.</w:t>
      </w:r>
    </w:p>
    <w:p>
      <w:pPr>
        <w:pStyle w:val="Bibliography"/>
      </w:pPr>
      <w:r>
        <w:t xml:space="preserve">Nalls, Mike A, Nathan Pankratz, Christina M Lill, Chuong B Do, Dena G Hernandez, Mohamad Saad, Anita L DeStefano, et al. 2014. “Large-scale meta-analysis of genome-wide association data identifies six new risk loci for Parkinson’s disease.”</w:t>
      </w:r>
      <w:r>
        <w:t xml:space="preserve"> </w:t>
      </w:r>
      <w:r>
        <w:rPr>
          <w:i/>
        </w:rPr>
        <w:t xml:space="preserve">Nature Genetics</w:t>
      </w:r>
      <w:r>
        <w:t xml:space="preserve"> </w:t>
      </w:r>
      <w:r>
        <w:t xml:space="preserve">46 (9). Nature Publishing Group: 989–93. doi:</w:t>
      </w:r>
      <w:hyperlink r:id="rId25">
        <w:r>
          <w:rPr>
            <w:rStyle w:val="Link"/>
          </w:rPr>
          <w:t xml:space="preserve">10.1038/ng.3043</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68a41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dx.doi.org/10.1038/nature14177" TargetMode="External" /><Relationship Type="http://schemas.openxmlformats.org/officeDocument/2006/relationships/hyperlink" Id="rId25" Target="http://dx.doi.org/10.1038/ng.3043" TargetMode="External" /><Relationship Type="http://schemas.openxmlformats.org/officeDocument/2006/relationships/hyperlink" Id="rId23" Target="http://dx.doi.org/10.1212/01.wnl.0000341769.50075.bb" TargetMode="External" /></Relationships>
</file>

<file path=word/_rels/footnotes.xml.rels><?xml version="1.0" encoding="UTF-8"?>
<Relationships xmlns="http://schemas.openxmlformats.org/package/2006/relationships"><Relationship Type="http://schemas.openxmlformats.org/officeDocument/2006/relationships/hyperlink" Id="rId24" Target="http://dx.doi.org/10.1038/nature14177" TargetMode="External" /><Relationship Type="http://schemas.openxmlformats.org/officeDocument/2006/relationships/hyperlink" Id="rId25" Target="http://dx.doi.org/10.1038/ng.3043" TargetMode="External" /><Relationship Type="http://schemas.openxmlformats.org/officeDocument/2006/relationships/hyperlink" Id="rId23" Target="http://dx.doi.org/10.1212/01.wnl.0000341769.50075.b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Simulations to assess the contribution of survival bias to protective associations of body mass index and Parkinson's disease</dc:title>
  <dc:creator/>
  <dcterms:created xsi:type="dcterms:W3CDTF">2016-09-21</dcterms:created>
  <dcterms:modified xsi:type="dcterms:W3CDTF">2016-09-21</dcterms:modified>
</cp:coreProperties>
</file>