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782" w:rsidRDefault="00723DF8">
      <w:pPr>
        <w:rPr>
          <w:b/>
          <w:sz w:val="36"/>
          <w:szCs w:val="36"/>
        </w:rPr>
      </w:pPr>
      <w:r w:rsidRPr="00723DF8">
        <w:rPr>
          <w:b/>
          <w:sz w:val="36"/>
          <w:szCs w:val="36"/>
        </w:rPr>
        <w:t>Accessible Navigation</w:t>
      </w:r>
      <w:r>
        <w:rPr>
          <w:b/>
          <w:sz w:val="36"/>
          <w:szCs w:val="36"/>
        </w:rPr>
        <w:t xml:space="preserve"> (WCAG 2.0 AA compliance)</w:t>
      </w:r>
    </w:p>
    <w:p w:rsidR="00723DF8" w:rsidRDefault="00723DF8">
      <w:pPr>
        <w:rPr>
          <w:b/>
          <w:sz w:val="36"/>
          <w:szCs w:val="36"/>
        </w:rPr>
      </w:pPr>
    </w:p>
    <w:p w:rsidR="00723DF8" w:rsidRPr="00723DF8" w:rsidRDefault="00723DF8" w:rsidP="00723DF8">
      <w:pPr>
        <w:rPr>
          <w:sz w:val="24"/>
          <w:szCs w:val="24"/>
        </w:rPr>
      </w:pPr>
      <w:r w:rsidRPr="00723DF8">
        <w:rPr>
          <w:sz w:val="24"/>
          <w:szCs w:val="24"/>
        </w:rPr>
        <w:t>This navigation is based on bootstrap 4.3</w:t>
      </w:r>
    </w:p>
    <w:p w:rsidR="00723DF8" w:rsidRPr="00723DF8" w:rsidRDefault="00723DF8" w:rsidP="00723DF8">
      <w:pPr>
        <w:rPr>
          <w:sz w:val="24"/>
          <w:szCs w:val="24"/>
        </w:rPr>
      </w:pPr>
      <w:r w:rsidRPr="00723DF8">
        <w:rPr>
          <w:sz w:val="24"/>
          <w:szCs w:val="24"/>
        </w:rPr>
        <w:t xml:space="preserve">All the main selectors are declared </w:t>
      </w:r>
      <w:r>
        <w:rPr>
          <w:sz w:val="24"/>
          <w:szCs w:val="24"/>
        </w:rPr>
        <w:t>top</w:t>
      </w:r>
      <w:r w:rsidRPr="00723DF8">
        <w:rPr>
          <w:sz w:val="24"/>
          <w:szCs w:val="24"/>
        </w:rPr>
        <w:t xml:space="preserve"> in JS</w:t>
      </w:r>
    </w:p>
    <w:p w:rsidR="00723DF8" w:rsidRPr="00723DF8" w:rsidRDefault="00723DF8" w:rsidP="00723DF8">
      <w:pPr>
        <w:rPr>
          <w:sz w:val="24"/>
          <w:szCs w:val="24"/>
        </w:rPr>
      </w:pPr>
      <w:r w:rsidRPr="00723DF8">
        <w:rPr>
          <w:sz w:val="24"/>
          <w:szCs w:val="24"/>
        </w:rPr>
        <w:t>Some classes need to be there for behaving this navigation is fully accessible.</w:t>
      </w:r>
    </w:p>
    <w:p w:rsidR="00723DF8" w:rsidRDefault="00723DF8" w:rsidP="00723DF8">
      <w:pPr>
        <w:rPr>
          <w:sz w:val="24"/>
          <w:szCs w:val="24"/>
        </w:rPr>
      </w:pPr>
      <w:r w:rsidRPr="00723DF8">
        <w:rPr>
          <w:sz w:val="24"/>
          <w:szCs w:val="24"/>
        </w:rPr>
        <w:t>This is just AA compliance. AAA is still in progress.</w:t>
      </w:r>
    </w:p>
    <w:p w:rsidR="00723DF8" w:rsidRDefault="00723DF8" w:rsidP="00723DF8">
      <w:pPr>
        <w:rPr>
          <w:sz w:val="24"/>
          <w:szCs w:val="24"/>
        </w:rPr>
      </w:pPr>
      <w:r>
        <w:rPr>
          <w:sz w:val="24"/>
          <w:szCs w:val="24"/>
        </w:rPr>
        <w:t>Some key features of this navigation.</w:t>
      </w:r>
    </w:p>
    <w:p w:rsidR="007F6BCD" w:rsidRPr="007F6BCD" w:rsidRDefault="007F6BCD" w:rsidP="007F6BCD">
      <w:pPr>
        <w:rPr>
          <w:sz w:val="24"/>
          <w:szCs w:val="24"/>
        </w:rPr>
      </w:pPr>
      <w:r w:rsidRPr="007F6BCD">
        <w:rPr>
          <w:sz w:val="24"/>
          <w:szCs w:val="24"/>
        </w:rPr>
        <w:t>Structure of Menu:</w:t>
      </w:r>
    </w:p>
    <w:p w:rsidR="007F6BCD" w:rsidRPr="007F6BCD" w:rsidRDefault="007F6BCD" w:rsidP="007F6BCD">
      <w:pPr>
        <w:numPr>
          <w:ilvl w:val="0"/>
          <w:numId w:val="3"/>
        </w:numPr>
        <w:rPr>
          <w:sz w:val="24"/>
          <w:szCs w:val="24"/>
        </w:rPr>
      </w:pPr>
      <w:r w:rsidRPr="007F6BCD">
        <w:rPr>
          <w:sz w:val="24"/>
          <w:szCs w:val="24"/>
        </w:rPr>
        <w:t>Write the menu code always inside the navigation &lt;nav&gt; tag.</w:t>
      </w:r>
    </w:p>
    <w:p w:rsidR="007F6BCD" w:rsidRPr="007F6BCD" w:rsidRDefault="007F6BCD" w:rsidP="007F6BCD">
      <w:pPr>
        <w:numPr>
          <w:ilvl w:val="0"/>
          <w:numId w:val="3"/>
        </w:numPr>
        <w:rPr>
          <w:sz w:val="24"/>
          <w:szCs w:val="24"/>
        </w:rPr>
      </w:pPr>
      <w:r w:rsidRPr="007F6BCD">
        <w:rPr>
          <w:sz w:val="24"/>
          <w:szCs w:val="24"/>
        </w:rPr>
        <w:t>Wrap Menu Items in the </w:t>
      </w:r>
      <w:r w:rsidRPr="007F6BCD">
        <w:rPr>
          <w:b/>
          <w:bCs/>
          <w:sz w:val="24"/>
          <w:szCs w:val="24"/>
        </w:rPr>
        <w:t>ordered list</w:t>
      </w:r>
      <w:r w:rsidRPr="007F6BCD">
        <w:rPr>
          <w:sz w:val="24"/>
          <w:szCs w:val="24"/>
        </w:rPr>
        <w:t> &lt;</w:t>
      </w:r>
      <w:proofErr w:type="spellStart"/>
      <w:r w:rsidRPr="007F6BCD">
        <w:rPr>
          <w:sz w:val="24"/>
          <w:szCs w:val="24"/>
        </w:rPr>
        <w:t>ol</w:t>
      </w:r>
      <w:proofErr w:type="spellEnd"/>
      <w:r w:rsidRPr="007F6BCD">
        <w:rPr>
          <w:sz w:val="24"/>
          <w:szCs w:val="24"/>
        </w:rPr>
        <w:t>&gt;when you need in a specific order, otherwise use Unordered list &lt;ul&gt;.</w:t>
      </w:r>
    </w:p>
    <w:p w:rsidR="007F6BCD" w:rsidRPr="007F6BCD" w:rsidRDefault="007F6BCD" w:rsidP="007F6BCD">
      <w:pPr>
        <w:numPr>
          <w:ilvl w:val="0"/>
          <w:numId w:val="3"/>
        </w:numPr>
        <w:rPr>
          <w:sz w:val="24"/>
          <w:szCs w:val="24"/>
        </w:rPr>
      </w:pPr>
      <w:r w:rsidRPr="007F6BCD">
        <w:rPr>
          <w:sz w:val="24"/>
          <w:szCs w:val="24"/>
        </w:rPr>
        <w:t>Use </w:t>
      </w:r>
      <w:r w:rsidRPr="007F6BCD">
        <w:rPr>
          <w:b/>
          <w:bCs/>
          <w:sz w:val="24"/>
          <w:szCs w:val="24"/>
        </w:rPr>
        <w:t>ARIA Labels as per the use cases</w:t>
      </w:r>
      <w:r w:rsidRPr="007F6BCD">
        <w:rPr>
          <w:sz w:val="24"/>
          <w:szCs w:val="24"/>
        </w:rPr>
        <w:t>.</w:t>
      </w:r>
      <w:r w:rsidRPr="007F6BCD">
        <w:rPr>
          <w:sz w:val="24"/>
          <w:szCs w:val="24"/>
        </w:rPr>
        <w:br/>
        <w:t>Use </w:t>
      </w:r>
      <w:r w:rsidRPr="007F6BCD">
        <w:rPr>
          <w:b/>
          <w:bCs/>
          <w:sz w:val="24"/>
          <w:szCs w:val="24"/>
        </w:rPr>
        <w:t>aria-</w:t>
      </w:r>
      <w:proofErr w:type="spellStart"/>
      <w:r w:rsidRPr="007F6BCD">
        <w:rPr>
          <w:b/>
          <w:bCs/>
          <w:sz w:val="24"/>
          <w:szCs w:val="24"/>
        </w:rPr>
        <w:t>labelledby</w:t>
      </w:r>
      <w:proofErr w:type="spellEnd"/>
      <w:r w:rsidRPr="007F6BCD">
        <w:rPr>
          <w:sz w:val="24"/>
          <w:szCs w:val="24"/>
        </w:rPr>
        <w:t> to refer to an existing element by its selector id. Use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7F6BCD">
        <w:rPr>
          <w:b/>
          <w:bCs/>
          <w:sz w:val="24"/>
          <w:szCs w:val="24"/>
        </w:rPr>
        <w:t>aria-label</w:t>
      </w:r>
      <w:r w:rsidRPr="007F6BCD">
        <w:rPr>
          <w:sz w:val="24"/>
          <w:szCs w:val="24"/>
        </w:rPr>
        <w:t> approach if the label should not appear visually on the page. To make things clear please refer to the following 2 code snippets. See the following examples of both attributes:</w:t>
      </w:r>
    </w:p>
    <w:p w:rsidR="007F6BCD" w:rsidRDefault="007F6BCD" w:rsidP="00723DF8">
      <w:pPr>
        <w:rPr>
          <w:sz w:val="24"/>
          <w:szCs w:val="24"/>
        </w:rPr>
      </w:pPr>
    </w:p>
    <w:p w:rsidR="0055148E" w:rsidRPr="0055148E" w:rsidRDefault="0055148E" w:rsidP="0055148E">
      <w:pPr>
        <w:rPr>
          <w:sz w:val="24"/>
          <w:szCs w:val="24"/>
        </w:rPr>
      </w:pPr>
      <w:r w:rsidRPr="0055148E">
        <w:rPr>
          <w:b/>
          <w:bCs/>
          <w:sz w:val="24"/>
          <w:szCs w:val="24"/>
        </w:rPr>
        <w:t>WAI-ARIA </w:t>
      </w:r>
      <w:r w:rsidRPr="0055148E">
        <w:rPr>
          <w:sz w:val="24"/>
          <w:szCs w:val="24"/>
        </w:rPr>
        <w:t>roles:</w:t>
      </w:r>
    </w:p>
    <w:p w:rsidR="0055148E" w:rsidRPr="0055148E" w:rsidRDefault="0055148E" w:rsidP="0055148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5148E">
        <w:rPr>
          <w:b/>
          <w:bCs/>
          <w:sz w:val="24"/>
          <w:szCs w:val="24"/>
        </w:rPr>
        <w:t>menubar</w:t>
      </w:r>
      <w:proofErr w:type="spellEnd"/>
      <w:r w:rsidRPr="0055148E">
        <w:rPr>
          <w:b/>
          <w:bCs/>
          <w:sz w:val="24"/>
          <w:szCs w:val="24"/>
        </w:rPr>
        <w:t>:</w:t>
      </w:r>
      <w:r w:rsidRPr="0055148E">
        <w:rPr>
          <w:sz w:val="24"/>
          <w:szCs w:val="24"/>
        </w:rPr>
        <w:t> Denotes a menu bar.</w:t>
      </w:r>
    </w:p>
    <w:p w:rsidR="0055148E" w:rsidRPr="0055148E" w:rsidRDefault="0055148E" w:rsidP="0055148E">
      <w:pPr>
        <w:numPr>
          <w:ilvl w:val="0"/>
          <w:numId w:val="1"/>
        </w:numPr>
        <w:rPr>
          <w:sz w:val="24"/>
          <w:szCs w:val="24"/>
        </w:rPr>
      </w:pPr>
      <w:r w:rsidRPr="0055148E">
        <w:rPr>
          <w:b/>
          <w:bCs/>
          <w:sz w:val="24"/>
          <w:szCs w:val="24"/>
        </w:rPr>
        <w:t>menu:</w:t>
      </w:r>
      <w:r w:rsidRPr="0055148E">
        <w:rPr>
          <w:sz w:val="24"/>
          <w:szCs w:val="24"/>
        </w:rPr>
        <w:t> Denotes a set of links. it is used for the fly-out menus.</w:t>
      </w:r>
    </w:p>
    <w:p w:rsidR="0055148E" w:rsidRPr="0055148E" w:rsidRDefault="0055148E" w:rsidP="0055148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5148E">
        <w:rPr>
          <w:b/>
          <w:bCs/>
          <w:sz w:val="24"/>
          <w:szCs w:val="24"/>
        </w:rPr>
        <w:t>menuitem</w:t>
      </w:r>
      <w:proofErr w:type="spellEnd"/>
      <w:r w:rsidRPr="0055148E">
        <w:rPr>
          <w:b/>
          <w:bCs/>
          <w:sz w:val="24"/>
          <w:szCs w:val="24"/>
        </w:rPr>
        <w:t>:</w:t>
      </w:r>
      <w:r w:rsidRPr="0055148E">
        <w:rPr>
          <w:sz w:val="24"/>
          <w:szCs w:val="24"/>
        </w:rPr>
        <w:t> Denotes an individual menu item.</w:t>
      </w:r>
    </w:p>
    <w:p w:rsidR="0055148E" w:rsidRPr="0055148E" w:rsidRDefault="0055148E" w:rsidP="0055148E">
      <w:pPr>
        <w:numPr>
          <w:ilvl w:val="0"/>
          <w:numId w:val="1"/>
        </w:numPr>
        <w:rPr>
          <w:sz w:val="24"/>
          <w:szCs w:val="24"/>
        </w:rPr>
      </w:pPr>
      <w:r w:rsidRPr="0055148E">
        <w:rPr>
          <w:b/>
          <w:bCs/>
          <w:sz w:val="24"/>
          <w:szCs w:val="24"/>
        </w:rPr>
        <w:t>separator:</w:t>
      </w:r>
      <w:r w:rsidRPr="0055148E">
        <w:rPr>
          <w:sz w:val="24"/>
          <w:szCs w:val="24"/>
        </w:rPr>
        <w:t> Denotes a separator between two groups of menu items in a menu.</w:t>
      </w:r>
    </w:p>
    <w:p w:rsidR="002514BD" w:rsidRDefault="002514BD" w:rsidP="00723DF8">
      <w:pPr>
        <w:rPr>
          <w:sz w:val="24"/>
          <w:szCs w:val="24"/>
        </w:rPr>
      </w:pPr>
    </w:p>
    <w:p w:rsidR="0055148E" w:rsidRDefault="0055148E" w:rsidP="00723DF8">
      <w:pPr>
        <w:rPr>
          <w:b/>
          <w:bCs/>
          <w:sz w:val="24"/>
          <w:szCs w:val="24"/>
        </w:rPr>
      </w:pPr>
      <w:r w:rsidRPr="0055148E">
        <w:rPr>
          <w:b/>
          <w:bCs/>
          <w:sz w:val="24"/>
          <w:szCs w:val="24"/>
        </w:rPr>
        <w:t>WAI-ARIA Markup to identify submenu to screen</w:t>
      </w:r>
      <w:r>
        <w:rPr>
          <w:b/>
          <w:bCs/>
          <w:sz w:val="24"/>
          <w:szCs w:val="24"/>
        </w:rPr>
        <w:t xml:space="preserve"> </w:t>
      </w:r>
      <w:r w:rsidRPr="0055148E">
        <w:rPr>
          <w:b/>
          <w:bCs/>
          <w:sz w:val="24"/>
          <w:szCs w:val="24"/>
        </w:rPr>
        <w:t>readers:</w:t>
      </w:r>
    </w:p>
    <w:p w:rsidR="0055148E" w:rsidRPr="0055148E" w:rsidRDefault="0055148E" w:rsidP="0055148E">
      <w:pPr>
        <w:numPr>
          <w:ilvl w:val="0"/>
          <w:numId w:val="2"/>
        </w:numPr>
        <w:rPr>
          <w:sz w:val="24"/>
          <w:szCs w:val="24"/>
        </w:rPr>
      </w:pPr>
      <w:r w:rsidRPr="0055148E">
        <w:rPr>
          <w:b/>
          <w:bCs/>
          <w:sz w:val="24"/>
          <w:szCs w:val="24"/>
        </w:rPr>
        <w:t>aria-</w:t>
      </w:r>
      <w:proofErr w:type="spellStart"/>
      <w:r w:rsidRPr="0055148E">
        <w:rPr>
          <w:b/>
          <w:bCs/>
          <w:sz w:val="24"/>
          <w:szCs w:val="24"/>
        </w:rPr>
        <w:t>haspopup</w:t>
      </w:r>
      <w:proofErr w:type="spellEnd"/>
      <w:r w:rsidRPr="0055148E">
        <w:rPr>
          <w:b/>
          <w:bCs/>
          <w:sz w:val="24"/>
          <w:szCs w:val="24"/>
        </w:rPr>
        <w:t>="true" -</w:t>
      </w:r>
      <w:r w:rsidRPr="0055148E">
        <w:rPr>
          <w:sz w:val="24"/>
          <w:szCs w:val="24"/>
        </w:rPr>
        <w:t> to declare that a menu item has a submenu.</w:t>
      </w:r>
    </w:p>
    <w:p w:rsidR="0055148E" w:rsidRPr="0055148E" w:rsidRDefault="0055148E" w:rsidP="0055148E">
      <w:pPr>
        <w:numPr>
          <w:ilvl w:val="0"/>
          <w:numId w:val="2"/>
        </w:numPr>
        <w:rPr>
          <w:sz w:val="24"/>
          <w:szCs w:val="24"/>
        </w:rPr>
      </w:pPr>
      <w:r w:rsidRPr="0055148E">
        <w:rPr>
          <w:b/>
          <w:bCs/>
          <w:sz w:val="24"/>
          <w:szCs w:val="24"/>
        </w:rPr>
        <w:t>aria-expanded="false" -</w:t>
      </w:r>
      <w:r w:rsidRPr="0055148E">
        <w:rPr>
          <w:sz w:val="24"/>
          <w:szCs w:val="24"/>
        </w:rPr>
        <w:t> to declare that the submenu is hidden currently.</w:t>
      </w:r>
    </w:p>
    <w:p w:rsidR="0055148E" w:rsidRDefault="0055148E" w:rsidP="00723DF8">
      <w:pPr>
        <w:rPr>
          <w:sz w:val="24"/>
          <w:szCs w:val="24"/>
        </w:rPr>
      </w:pPr>
    </w:p>
    <w:p w:rsidR="0055148E" w:rsidRDefault="0055148E" w:rsidP="00723DF8">
      <w:pPr>
        <w:rPr>
          <w:sz w:val="24"/>
          <w:szCs w:val="24"/>
        </w:rPr>
      </w:pPr>
    </w:p>
    <w:p w:rsidR="0055148E" w:rsidRDefault="0055148E" w:rsidP="00723DF8">
      <w:pPr>
        <w:rPr>
          <w:sz w:val="24"/>
          <w:szCs w:val="24"/>
        </w:rPr>
      </w:pPr>
    </w:p>
    <w:p w:rsidR="002514BD" w:rsidRPr="002514BD" w:rsidRDefault="002514BD" w:rsidP="002514BD">
      <w:pPr>
        <w:spacing w:before="100" w:beforeAutospacing="1" w:after="100" w:afterAutospacing="1" w:line="240" w:lineRule="auto"/>
        <w:outlineLvl w:val="2"/>
        <w:rPr>
          <w:rFonts w:ascii="Quicksand" w:eastAsia="Times New Roman" w:hAnsi="Quicksand" w:cs="Times New Roman"/>
          <w:color w:val="131516"/>
          <w:sz w:val="27"/>
          <w:szCs w:val="27"/>
          <w:u w:val="single"/>
        </w:rPr>
      </w:pPr>
      <w:r w:rsidRPr="002514BD">
        <w:rPr>
          <w:rFonts w:ascii="Quicksand" w:eastAsia="Times New Roman" w:hAnsi="Quicksand" w:cs="Times New Roman"/>
          <w:color w:val="131516"/>
          <w:sz w:val="27"/>
          <w:szCs w:val="27"/>
          <w:u w:val="single"/>
        </w:rPr>
        <w:t xml:space="preserve">Keyboard Support </w:t>
      </w:r>
      <w:r w:rsidRPr="002514BD">
        <w:rPr>
          <w:rFonts w:ascii="Quicksand" w:eastAsia="Times New Roman" w:hAnsi="Quicksand" w:cs="Times New Roman"/>
          <w:color w:val="131516"/>
          <w:sz w:val="27"/>
          <w:szCs w:val="27"/>
          <w:u w:val="single"/>
        </w:rPr>
        <w:t>and</w:t>
      </w:r>
      <w:r w:rsidRPr="002514BD">
        <w:rPr>
          <w:rFonts w:ascii="Quicksand" w:eastAsia="Times New Roman" w:hAnsi="Quicksand" w:cs="Times New Roman"/>
          <w:color w:val="131516"/>
          <w:sz w:val="27"/>
          <w:szCs w:val="27"/>
          <w:u w:val="single"/>
        </w:rPr>
        <w:t xml:space="preserve"> Focus Management for the “Navigation </w:t>
      </w:r>
      <w:proofErr w:type="spellStart"/>
      <w:r w:rsidRPr="002514BD">
        <w:rPr>
          <w:rFonts w:ascii="Quicksand" w:eastAsia="Times New Roman" w:hAnsi="Quicksand" w:cs="Times New Roman"/>
          <w:color w:val="131516"/>
          <w:sz w:val="27"/>
          <w:szCs w:val="27"/>
          <w:u w:val="single"/>
        </w:rPr>
        <w:t>Menubar</w:t>
      </w:r>
      <w:proofErr w:type="spellEnd"/>
      <w:r w:rsidRPr="002514BD">
        <w:rPr>
          <w:rFonts w:ascii="Quicksand" w:eastAsia="Times New Roman" w:hAnsi="Quicksand" w:cs="Times New Roman"/>
          <w:color w:val="131516"/>
          <w:sz w:val="27"/>
          <w:szCs w:val="27"/>
          <w:u w:val="single"/>
        </w:rPr>
        <w:t>” pattern</w:t>
      </w:r>
    </w:p>
    <w:p w:rsidR="002514BD" w:rsidRPr="002514BD" w:rsidRDefault="002514BD" w:rsidP="002514BD">
      <w:pPr>
        <w:spacing w:beforeAutospacing="1" w:after="0" w:afterAutospacing="1" w:line="240" w:lineRule="auto"/>
        <w:rPr>
          <w:rFonts w:ascii="Lato" w:eastAsia="Times New Roman" w:hAnsi="Lato" w:cs="Times New Roman"/>
          <w:color w:val="131516"/>
          <w:sz w:val="24"/>
          <w:szCs w:val="24"/>
        </w:rPr>
      </w:pPr>
      <w:r w:rsidRPr="002514BD">
        <w:rPr>
          <w:rFonts w:ascii="Lato" w:eastAsia="Times New Roman" w:hAnsi="Lato" w:cs="Times New Roman"/>
          <w:color w:val="131516"/>
          <w:sz w:val="24"/>
          <w:szCs w:val="24"/>
        </w:rPr>
        <w:t>It is likely to assume that switching between controls (e.g., links, buttons) within a “</w:t>
      </w:r>
      <w:proofErr w:type="spellStart"/>
      <w:r w:rsidRPr="002514BD">
        <w:rPr>
          <w:rFonts w:ascii="var(--code-font)" w:eastAsia="Times New Roman" w:hAnsi="var(--code-font)" w:cs="Courier New"/>
          <w:color w:val="131516"/>
          <w:sz w:val="20"/>
          <w:szCs w:val="20"/>
          <w:bdr w:val="none" w:sz="0" w:space="0" w:color="auto" w:frame="1"/>
        </w:rPr>
        <w:t>menubar</w:t>
      </w:r>
      <w:proofErr w:type="spellEnd"/>
      <w:r w:rsidRPr="002514BD">
        <w:rPr>
          <w:rFonts w:ascii="Lato" w:eastAsia="Times New Roman" w:hAnsi="Lato" w:cs="Times New Roman"/>
          <w:color w:val="131516"/>
          <w:sz w:val="24"/>
          <w:szCs w:val="24"/>
        </w:rPr>
        <w:t>” using the keyboard, would be done by pressing the </w:t>
      </w:r>
      <w:r w:rsidRPr="002514BD">
        <w:rPr>
          <w:rFonts w:ascii="Lato" w:eastAsia="Times New Roman" w:hAnsi="Lato" w:cs="Times New Roman"/>
          <w:i/>
          <w:iCs/>
          <w:color w:val="131516"/>
          <w:sz w:val="24"/>
          <w:szCs w:val="24"/>
          <w:bdr w:val="none" w:sz="0" w:space="0" w:color="auto" w:frame="1"/>
        </w:rPr>
        <w:t>Tab</w:t>
      </w:r>
      <w:r w:rsidRPr="002514BD">
        <w:rPr>
          <w:rFonts w:ascii="Lato" w:eastAsia="Times New Roman" w:hAnsi="Lato" w:cs="Times New Roman"/>
          <w:color w:val="131516"/>
          <w:sz w:val="24"/>
          <w:szCs w:val="24"/>
        </w:rPr>
        <w:t> key as we would with intractable elements that are not part of a “</w:t>
      </w:r>
      <w:proofErr w:type="spellStart"/>
      <w:proofErr w:type="gramStart"/>
      <w:r w:rsidRPr="002514BD">
        <w:rPr>
          <w:rFonts w:ascii="var(--code-font)" w:eastAsia="Times New Roman" w:hAnsi="var(--code-font)" w:cs="Courier New"/>
          <w:color w:val="131516"/>
          <w:sz w:val="20"/>
          <w:szCs w:val="20"/>
          <w:bdr w:val="none" w:sz="0" w:space="0" w:color="auto" w:frame="1"/>
        </w:rPr>
        <w:t>menubar</w:t>
      </w:r>
      <w:proofErr w:type="spellEnd"/>
      <w:r w:rsidRPr="002514BD">
        <w:rPr>
          <w:rFonts w:ascii="Lato" w:eastAsia="Times New Roman" w:hAnsi="Lato" w:cs="Times New Roman"/>
          <w:color w:val="131516"/>
          <w:sz w:val="24"/>
          <w:szCs w:val="24"/>
        </w:rPr>
        <w:t>“</w:t>
      </w:r>
      <w:proofErr w:type="gramEnd"/>
      <w:r w:rsidRPr="002514BD">
        <w:rPr>
          <w:rFonts w:ascii="Lato" w:eastAsia="Times New Roman" w:hAnsi="Lato" w:cs="Times New Roman"/>
          <w:color w:val="131516"/>
          <w:sz w:val="24"/>
          <w:szCs w:val="24"/>
        </w:rPr>
        <w:t>. However, the “</w:t>
      </w:r>
      <w:r w:rsidRPr="002514BD">
        <w:rPr>
          <w:rFonts w:ascii="var(--code-font)" w:eastAsia="Times New Roman" w:hAnsi="var(--code-font)" w:cs="Courier New"/>
          <w:color w:val="131516"/>
          <w:sz w:val="20"/>
          <w:szCs w:val="20"/>
          <w:bdr w:val="none" w:sz="0" w:space="0" w:color="auto" w:frame="1"/>
        </w:rPr>
        <w:t>menu</w:t>
      </w:r>
      <w:r w:rsidRPr="002514BD">
        <w:rPr>
          <w:rFonts w:ascii="Lato" w:eastAsia="Times New Roman" w:hAnsi="Lato" w:cs="Times New Roman"/>
          <w:color w:val="131516"/>
          <w:sz w:val="24"/>
          <w:szCs w:val="24"/>
        </w:rPr>
        <w:t>” and “</w:t>
      </w:r>
      <w:proofErr w:type="spellStart"/>
      <w:r w:rsidRPr="002514BD">
        <w:rPr>
          <w:rFonts w:ascii="var(--code-font)" w:eastAsia="Times New Roman" w:hAnsi="var(--code-font)" w:cs="Courier New"/>
          <w:color w:val="131516"/>
          <w:sz w:val="20"/>
          <w:szCs w:val="20"/>
          <w:bdr w:val="none" w:sz="0" w:space="0" w:color="auto" w:frame="1"/>
        </w:rPr>
        <w:t>menubar</w:t>
      </w:r>
      <w:proofErr w:type="spellEnd"/>
      <w:r w:rsidRPr="002514BD">
        <w:rPr>
          <w:rFonts w:ascii="Lato" w:eastAsia="Times New Roman" w:hAnsi="Lato" w:cs="Times New Roman"/>
          <w:color w:val="131516"/>
          <w:sz w:val="24"/>
          <w:szCs w:val="24"/>
        </w:rPr>
        <w:t>” semantics dictate specific and non-standard keyboard support.</w:t>
      </w:r>
    </w:p>
    <w:p w:rsidR="002514BD" w:rsidRPr="002514BD" w:rsidRDefault="002514BD" w:rsidP="002514BD">
      <w:pPr>
        <w:spacing w:beforeAutospacing="1" w:after="0" w:afterAutospacing="1" w:line="240" w:lineRule="auto"/>
        <w:rPr>
          <w:rFonts w:ascii="Lato" w:eastAsia="Times New Roman" w:hAnsi="Lato" w:cs="Times New Roman"/>
          <w:color w:val="131516"/>
          <w:sz w:val="24"/>
          <w:szCs w:val="24"/>
        </w:rPr>
      </w:pPr>
      <w:r w:rsidRPr="002514BD">
        <w:rPr>
          <w:rFonts w:ascii="Lato" w:eastAsia="Times New Roman" w:hAnsi="Lato" w:cs="Times New Roman"/>
          <w:color w:val="131516"/>
          <w:sz w:val="24"/>
          <w:szCs w:val="24"/>
        </w:rPr>
        <w:t>Let’s look at the “</w:t>
      </w:r>
      <w:r w:rsidRPr="002514BD">
        <w:rPr>
          <w:rFonts w:ascii="var(--code-font)" w:eastAsia="Times New Roman" w:hAnsi="var(--code-font)" w:cs="Courier New"/>
          <w:color w:val="131516"/>
          <w:sz w:val="20"/>
          <w:szCs w:val="20"/>
          <w:bdr w:val="none" w:sz="0" w:space="0" w:color="auto" w:frame="1"/>
        </w:rPr>
        <w:t>menu</w:t>
      </w:r>
      <w:r w:rsidRPr="002514BD">
        <w:rPr>
          <w:rFonts w:ascii="Lato" w:eastAsia="Times New Roman" w:hAnsi="Lato" w:cs="Times New Roman"/>
          <w:color w:val="131516"/>
          <w:sz w:val="24"/>
          <w:szCs w:val="24"/>
        </w:rPr>
        <w:t>” and “</w:t>
      </w:r>
      <w:proofErr w:type="spellStart"/>
      <w:r w:rsidRPr="002514BD">
        <w:rPr>
          <w:rFonts w:ascii="var(--code-font)" w:eastAsia="Times New Roman" w:hAnsi="var(--code-font)" w:cs="Courier New"/>
          <w:color w:val="131516"/>
          <w:sz w:val="20"/>
          <w:szCs w:val="20"/>
          <w:bdr w:val="none" w:sz="0" w:space="0" w:color="auto" w:frame="1"/>
        </w:rPr>
        <w:t>menubar</w:t>
      </w:r>
      <w:proofErr w:type="spellEnd"/>
      <w:r w:rsidRPr="002514BD">
        <w:rPr>
          <w:rFonts w:ascii="Lato" w:eastAsia="Times New Roman" w:hAnsi="Lato" w:cs="Times New Roman"/>
          <w:color w:val="131516"/>
          <w:sz w:val="24"/>
          <w:szCs w:val="24"/>
        </w:rPr>
        <w:t>” roles’ definitions and what they are saying regarding the keyboard support. </w:t>
      </w:r>
    </w:p>
    <w:p w:rsidR="002514BD" w:rsidRPr="002514BD" w:rsidRDefault="002514BD" w:rsidP="002514BD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131516"/>
          <w:sz w:val="24"/>
          <w:szCs w:val="24"/>
        </w:rPr>
      </w:pPr>
      <w:r w:rsidRPr="002514BD">
        <w:rPr>
          <w:rFonts w:ascii="Lato" w:eastAsia="Times New Roman" w:hAnsi="Lato" w:cs="Times New Roman"/>
          <w:color w:val="131516"/>
          <w:sz w:val="24"/>
          <w:szCs w:val="24"/>
        </w:rPr>
        <w:t>Both definitions end with this sentence:</w:t>
      </w:r>
    </w:p>
    <w:p w:rsidR="002514BD" w:rsidRDefault="002514BD" w:rsidP="00723DF8">
      <w:pPr>
        <w:rPr>
          <w:sz w:val="24"/>
          <w:szCs w:val="24"/>
        </w:rPr>
      </w:pPr>
    </w:p>
    <w:p w:rsidR="002514BD" w:rsidRDefault="002514BD" w:rsidP="00723DF8">
      <w:pPr>
        <w:rPr>
          <w:sz w:val="24"/>
          <w:szCs w:val="24"/>
        </w:rPr>
      </w:pPr>
      <w:r>
        <w:rPr>
          <w:sz w:val="24"/>
          <w:szCs w:val="24"/>
        </w:rPr>
        <w:t>Main menu keys functions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3F2469" w:rsidRPr="003F2469" w:rsidTr="003F2469">
        <w:trPr>
          <w:tblHeader/>
          <w:tblCellSpacing w:w="15" w:type="dxa"/>
        </w:trPr>
        <w:tc>
          <w:tcPr>
            <w:tcW w:w="2025" w:type="dxa"/>
            <w:shd w:val="clear" w:color="auto" w:fill="C00000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Key</w:t>
            </w:r>
          </w:p>
        </w:tc>
        <w:tc>
          <w:tcPr>
            <w:tcW w:w="7245" w:type="dxa"/>
            <w:shd w:val="clear" w:color="auto" w:fill="C00000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</w:tr>
      <w:tr w:rsidR="003F2469" w:rsidRPr="003F2469" w:rsidTr="003F2469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Space, Enter</w:t>
            </w:r>
          </w:p>
        </w:tc>
        <w:tc>
          <w:tcPr>
            <w:tcW w:w="7245" w:type="dxa"/>
            <w:vAlign w:val="center"/>
            <w:hideMark/>
          </w:tcPr>
          <w:p w:rsidR="003F2469" w:rsidRPr="003F2469" w:rsidRDefault="00594E80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F2469"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Opens submenu.</w:t>
            </w:r>
          </w:p>
        </w:tc>
      </w:tr>
      <w:tr w:rsidR="003F2469" w:rsidRPr="003F2469" w:rsidTr="003F2469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724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Moves focus to the next item in the </w:t>
            </w:r>
            <w:proofErr w:type="spellStart"/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menubar</w:t>
            </w:r>
            <w:proofErr w:type="spellEnd"/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2469" w:rsidRPr="003F2469" w:rsidTr="003F2469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724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Moves focus to the previous item in the </w:t>
            </w:r>
            <w:proofErr w:type="spellStart"/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menubar</w:t>
            </w:r>
            <w:proofErr w:type="spellEnd"/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2469" w:rsidRPr="003F2469" w:rsidTr="003F2469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7245" w:type="dxa"/>
            <w:vAlign w:val="center"/>
            <w:hideMark/>
          </w:tcPr>
          <w:p w:rsidR="003F2469" w:rsidRPr="003F2469" w:rsidRDefault="002514BD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F2469"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Opens submenu and moves focus to the first item in the submenu.</w:t>
            </w:r>
          </w:p>
        </w:tc>
      </w:tr>
      <w:tr w:rsidR="003F2469" w:rsidRPr="003F2469" w:rsidTr="003F2469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7245" w:type="dxa"/>
            <w:vAlign w:val="center"/>
            <w:hideMark/>
          </w:tcPr>
          <w:p w:rsidR="003F2469" w:rsidRPr="003F2469" w:rsidRDefault="002514BD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F2469"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Opens submenu and moves focus to the last item in the submenu.</w:t>
            </w:r>
          </w:p>
        </w:tc>
      </w:tr>
    </w:tbl>
    <w:p w:rsidR="003F2469" w:rsidRDefault="003F2469" w:rsidP="003F2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4BD" w:rsidRDefault="002514BD" w:rsidP="003F2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4BD" w:rsidRPr="003F2469" w:rsidRDefault="002514BD" w:rsidP="003F2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Dropdown Keys 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3F2469" w:rsidRPr="003F2469" w:rsidTr="00594E80">
        <w:trPr>
          <w:tblHeader/>
          <w:tblCellSpacing w:w="15" w:type="dxa"/>
        </w:trPr>
        <w:tc>
          <w:tcPr>
            <w:tcW w:w="2025" w:type="dxa"/>
            <w:shd w:val="clear" w:color="auto" w:fill="C00000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Key</w:t>
            </w:r>
          </w:p>
        </w:tc>
        <w:tc>
          <w:tcPr>
            <w:tcW w:w="7245" w:type="dxa"/>
            <w:shd w:val="clear" w:color="auto" w:fill="C00000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</w:tr>
      <w:tr w:rsidR="003F2469" w:rsidRPr="003F2469" w:rsidTr="00594E80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Space, Enter</w:t>
            </w:r>
          </w:p>
        </w:tc>
        <w:tc>
          <w:tcPr>
            <w:tcW w:w="724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Activates menu item, causing the link to be activated.</w:t>
            </w:r>
          </w:p>
        </w:tc>
      </w:tr>
      <w:tr w:rsidR="003F2469" w:rsidRPr="003F2469" w:rsidTr="00594E80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Escape</w:t>
            </w:r>
          </w:p>
        </w:tc>
        <w:tc>
          <w:tcPr>
            <w:tcW w:w="724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– Closes submenu.</w:t>
            </w: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– Moves focus to parent </w:t>
            </w:r>
            <w:proofErr w:type="spellStart"/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menubar</w:t>
            </w:r>
            <w:proofErr w:type="spellEnd"/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item.</w:t>
            </w:r>
          </w:p>
        </w:tc>
      </w:tr>
      <w:tr w:rsidR="003F2469" w:rsidRPr="003F2469" w:rsidTr="00594E80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Right Arrow</w:t>
            </w:r>
          </w:p>
        </w:tc>
        <w:tc>
          <w:tcPr>
            <w:tcW w:w="724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– If focus is on an item with a submenu, it opens the submenu and places focus on the first item.</w:t>
            </w: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F2469" w:rsidRPr="003F2469" w:rsidTr="00594E80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Left Arrow</w:t>
            </w:r>
          </w:p>
        </w:tc>
        <w:tc>
          <w:tcPr>
            <w:tcW w:w="724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– Closes submenu and moves focus to the parent menu item.</w:t>
            </w: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F2469" w:rsidRPr="003F2469" w:rsidTr="00594E80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Down Arrow</w:t>
            </w:r>
          </w:p>
        </w:tc>
        <w:tc>
          <w:tcPr>
            <w:tcW w:w="724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– Moves focus to the next item in the submenu.</w:t>
            </w:r>
          </w:p>
        </w:tc>
      </w:tr>
      <w:tr w:rsidR="003F2469" w:rsidRPr="003F2469" w:rsidTr="00594E80">
        <w:trPr>
          <w:tblCellSpacing w:w="15" w:type="dxa"/>
        </w:trPr>
        <w:tc>
          <w:tcPr>
            <w:tcW w:w="202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Up Arrow</w:t>
            </w:r>
          </w:p>
        </w:tc>
        <w:tc>
          <w:tcPr>
            <w:tcW w:w="7245" w:type="dxa"/>
            <w:vAlign w:val="center"/>
            <w:hideMark/>
          </w:tcPr>
          <w:p w:rsidR="003F2469" w:rsidRPr="003F2469" w:rsidRDefault="003F2469" w:rsidP="003F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469">
              <w:rPr>
                <w:rFonts w:ascii="Times New Roman" w:eastAsia="Times New Roman" w:hAnsi="Times New Roman" w:cs="Times New Roman"/>
                <w:sz w:val="24"/>
                <w:szCs w:val="24"/>
              </w:rPr>
              <w:t>– Moves focus to the previous item in the submenu.</w:t>
            </w:r>
          </w:p>
        </w:tc>
      </w:tr>
    </w:tbl>
    <w:p w:rsidR="00723DF8" w:rsidRPr="00723DF8" w:rsidRDefault="00723DF8" w:rsidP="00723DF8">
      <w:pPr>
        <w:rPr>
          <w:sz w:val="24"/>
          <w:szCs w:val="24"/>
        </w:rPr>
      </w:pPr>
    </w:p>
    <w:p w:rsidR="00723DF8" w:rsidRDefault="00723DF8"/>
    <w:p w:rsidR="00723DF8" w:rsidRDefault="00723DF8"/>
    <w:sectPr w:rsidR="0072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  <w:font w:name="var(--cod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5AA1"/>
    <w:multiLevelType w:val="multilevel"/>
    <w:tmpl w:val="1E22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36021"/>
    <w:multiLevelType w:val="multilevel"/>
    <w:tmpl w:val="4242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14CE3"/>
    <w:multiLevelType w:val="multilevel"/>
    <w:tmpl w:val="CEA0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F8"/>
    <w:rsid w:val="00251379"/>
    <w:rsid w:val="002514BD"/>
    <w:rsid w:val="003F2469"/>
    <w:rsid w:val="0055148E"/>
    <w:rsid w:val="00594E80"/>
    <w:rsid w:val="00723DF8"/>
    <w:rsid w:val="007F6BCD"/>
    <w:rsid w:val="00FF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EE15"/>
  <w15:chartTrackingRefBased/>
  <w15:docId w15:val="{FC3B48B6-A38C-4E44-AC43-164E1DF8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1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24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514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14B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Virdi, Navpreet (Buck)</dc:creator>
  <cp:keywords/>
  <dc:description/>
  <cp:lastModifiedBy>Virdi, Navpreet (Buck)</cp:lastModifiedBy>
  <cp:revision>5</cp:revision>
  <dcterms:created xsi:type="dcterms:W3CDTF">2021-10-25T18:42:00Z</dcterms:created>
  <dcterms:modified xsi:type="dcterms:W3CDTF">2021-10-25T19:19:00Z</dcterms:modified>
</cp:coreProperties>
</file>