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广东工业大学学生资助政策智能体 — 模块功能说明</w:t>
      </w:r>
    </w:p>
    <w:p>
      <w:r>
        <w:t xml:space="preserve">文档版本：与仓库 main 对应；生成日期：2026-04-09</w:t>
      </w:r>
    </w:p>
    <w:p>
      <w:r>
        <w:t xml:space="preserve">本系统为前后端分离演示：前端 React + Vite；后端 FastAPI。GitHub Pages 静态站为演示模式（VITE_DEMO_ONLY），不连接后端；本地联调需启动后端并配置 VITE_API_BASE。</w:t>
      </w:r>
    </w:p>
    <w:p>
      <w:pPr>
        <w:pStyle w:val="Heading2"/>
      </w:pPr>
      <w:r>
        <w:rPr>
          <w:b/>
        </w:rPr>
        <w:t xml:space="preserve">一、全局与界面</w:t>
      </w:r>
    </w:p>
    <w:p>
      <w:r>
        <w:t xml:space="preserve">侧栏导航：智能工具、资助文件与政策、校区联系方式、数据看板、事件处理进度、反馈箱、后台管理平台。地址栏 #hash 与页面同步，便于收藏直达。</w:t>
      </w:r>
    </w:p>
    <w:p>
      <w:r>
        <w:t xml:space="preserve">主题切换：浅色正式版 / 深色夜间版，设置保存在浏览器 localStorage。</w:t>
      </w:r>
    </w:p>
    <w:p>
      <w:r>
        <w:t xml:space="preserve">页头：展示校徽、系统标题与副标题；平台概览卡片显示当前模式（静态演示/联调）、推荐入口与资助中心咨询电话。</w:t>
      </w:r>
    </w:p>
    <w:p>
      <w:pPr>
        <w:pStyle w:val="Heading2"/>
      </w:pPr>
      <w:r>
        <w:rPr>
          <w:b/>
        </w:rPr>
        <w:t xml:space="preserve">二、智能工具（侧栏「智能工具」）</w:t>
      </w:r>
    </w:p>
    <w:p>
      <w:r>
        <w:t xml:space="preserve">以下为同一页内的功能 Tab，对应后端若干 API（联调时生效；静态演示为本地示例数据）。</w:t>
      </w:r>
    </w:p>
    <w:p>
      <w:pPr>
        <w:pStyle w:val="Heading3"/>
      </w:pPr>
      <w:r>
        <w:rPr>
          <w:b/>
        </w:rPr>
        <w:t xml:space="preserve">1. 7×24 政策问答</w:t>
      </w:r>
    </w:p>
    <w:p>
      <w:r>
        <w:t xml:space="preserve">多轮对话，支持自然语言提问；可配置大模型后由后端生成回复。静态演示下为固定说明与快捷主题按钮回复。</w:t>
      </w:r>
    </w:p>
    <w:p>
      <w:r>
        <w:t xml:space="preserve">快捷主题：助学贷款、奖学金条件、国家助学金与困难认定、勤工助学与绿色通道、公示异议与申诉、官方政策链接汇总、各校区与资助咨询电话等。</w:t>
      </w:r>
    </w:p>
    <w:p>
      <w:r>
        <w:t xml:space="preserve">后端接口：POST /api/chat（联调模式）。</w:t>
      </w:r>
    </w:p>
    <w:p>
      <w:pPr>
        <w:pStyle w:val="Heading3"/>
      </w:pPr>
      <w:r>
        <w:rPr>
          <w:b/>
        </w:rPr>
        <w:t xml:space="preserve">2. 资格审查</w:t>
      </w:r>
    </w:p>
    <w:p>
      <w:r>
        <w:t xml:space="preserve">根据休学、严重违纪、困难生库与申请意向等字段做规则校验，输出全量结果与异常名单。请求体为 JSON（students 数组），适合演示批量跑批思路。</w:t>
      </w:r>
    </w:p>
    <w:p>
      <w:r>
        <w:t xml:space="preserve">后端接口：POST /api/eligibility/screen。</w:t>
      </w:r>
    </w:p>
    <w:p>
      <w:pPr>
        <w:pStyle w:val="Heading3"/>
      </w:pPr>
      <w:r>
        <w:rPr>
          <w:b/>
        </w:rPr>
        <w:t xml:space="preserve">3. 智能预警与推荐</w:t>
      </w:r>
    </w:p>
    <w:p>
      <w:r>
        <w:t xml:space="preserve">（A）隐形贫困风险提示：基于月消费、同届中位、食堂占比等做启发式评分，辅助发现「低消费高刚性」群体（须与认定流程结合）。</w:t>
      </w:r>
    </w:p>
    <w:p>
      <w:r>
        <w:t xml:space="preserve">（B）免申即享 / 主动推送（规则演示）：勾选身份特征后给出可重点提醒的政策类型（非审批结果）。</w:t>
      </w:r>
    </w:p>
    <w:p>
      <w:r>
        <w:t xml:space="preserve">后端接口：POST /api/insights/poverty-risk；POST /api/recommendations/auto。</w:t>
      </w:r>
    </w:p>
    <w:p>
      <w:pPr>
        <w:pStyle w:val="Heading3"/>
      </w:pPr>
      <w:r>
        <w:rPr>
          <w:b/>
        </w:rPr>
        <w:t xml:space="preserve">4. 资助计算器</w:t>
      </w:r>
    </w:p>
    <w:p>
      <w:r>
        <w:t xml:space="preserve">输入年级、GPA、排名百分位、困难等级、在库情况、身份特征等，按规则进行理论额度试算，并说明国家励志奖学金与国家助学金等可并行性（演示规则）。</w:t>
      </w:r>
    </w:p>
    <w:p>
      <w:r>
        <w:t xml:space="preserve">后端接口：POST /api/calculator/aid-estimate。</w:t>
      </w:r>
    </w:p>
    <w:p>
      <w:pPr>
        <w:pStyle w:val="Heading3"/>
      </w:pPr>
      <w:r>
        <w:rPr>
          <w:b/>
        </w:rPr>
        <w:t xml:space="preserve">5. 政策匹配与推送</w:t>
      </w:r>
    </w:p>
    <w:p>
      <w:r>
        <w:t xml:space="preserve">根据成绩、困难认定、专利/竞赛、特长等筛选可申奖项；结合月份生成窗口期提醒清单；可加载政策窗口期归纳（演示）。</w:t>
      </w:r>
    </w:p>
    <w:p>
      <w:r>
        <w:t xml:space="preserve">后端接口：POST /api/match/awards；POST /api/push/reminders；GET /api/policy/windows。</w:t>
      </w:r>
    </w:p>
    <w:p>
      <w:pPr>
        <w:pStyle w:val="Heading3"/>
      </w:pPr>
      <w:r>
        <w:rPr>
          <w:b/>
        </w:rPr>
        <w:t xml:space="preserve">6. 预审机器人与看板</w:t>
      </w:r>
    </w:p>
    <w:p>
      <w:r>
        <w:t xml:space="preserve">A. 隐形贫困识别辅助：按 JSON 行数据批量识别风险（演示）。B. 资格预审机器人：贫困库、成绩排名、违纪、休学等规则核对，输出符合条件与异常清单；支持导出 Excel（非静态站）。C. 数据看板：调用汇总接口展示申请进度、完成率等示例指标。</w:t>
      </w:r>
    </w:p>
    <w:p>
      <w:r>
        <w:t xml:space="preserve">后端接口：POST /api/hidden-poverty/detect；POST /api/precheck/run；POST /api/precheck/export.xlsx；GET /api/dashboard/summary。</w:t>
      </w:r>
    </w:p>
    <w:p>
      <w:pPr>
        <w:pStyle w:val="Heading2"/>
      </w:pPr>
      <w:r>
        <w:rPr>
          <w:b/>
        </w:rPr>
        <w:t xml:space="preserve">三、侧栏独立页面</w:t>
      </w:r>
    </w:p>
    <w:p>
      <w:pPr>
        <w:pStyle w:val="Heading3"/>
      </w:pPr>
      <w:r>
        <w:rPr>
          <w:b/>
        </w:rPr>
        <w:t xml:space="preserve">1. 资助文件与政策</w:t>
      </w:r>
    </w:p>
    <w:p>
      <w:r>
        <w:t xml:space="preserve">按分组列出学校及上级部门公开网页链接，便于一键跳转；文案提示以当年官网最新通知为准。</w:t>
      </w:r>
    </w:p>
    <w:p>
      <w:pPr>
        <w:pStyle w:val="Heading3"/>
      </w:pPr>
      <w:r>
        <w:rPr>
          <w:b/>
        </w:rPr>
        <w:t xml:space="preserve">2. 校区联系方式</w:t>
      </w:r>
    </w:p>
    <w:p>
      <w:r>
        <w:t xml:space="preserve">多校区卡片展示电话、邮箱、地址等公开信息归纳；与学工处、资助中心官网对照使用。</w:t>
      </w:r>
    </w:p>
    <w:p>
      <w:pPr>
        <w:pStyle w:val="Heading3"/>
      </w:pPr>
      <w:r>
        <w:rPr>
          <w:b/>
        </w:rPr>
        <w:t xml:space="preserve">3. 数据看板</w:t>
      </w:r>
    </w:p>
    <w:p>
      <w:r>
        <w:t xml:space="preserve">单独拉取 GET /api/dashboard/summary 结果展示；也可从智能工具内「预审与看板」进入完整能力。</w:t>
      </w:r>
    </w:p>
    <w:p>
      <w:pPr>
        <w:pStyle w:val="Heading3"/>
      </w:pPr>
      <w:r>
        <w:rPr>
          <w:b/>
        </w:rPr>
        <w:t xml:space="preserve">4. 事件处理进度</w:t>
      </w:r>
    </w:p>
    <w:p>
      <w:r>
        <w:t xml:space="preserve">前端表格演示工单号、类型、摘要、状态与更新日期；正式环境需对接业务系统。</w:t>
      </w:r>
    </w:p>
    <w:p>
      <w:pPr>
        <w:pStyle w:val="Heading3"/>
      </w:pPr>
      <w:r>
        <w:rPr>
          <w:b/>
        </w:rPr>
        <w:t xml:space="preserve">5. 反馈箱</w:t>
      </w:r>
    </w:p>
    <w:p>
      <w:r>
        <w:t xml:space="preserve">主题、内容与联系方式提交后暂存于本机 localStorage（演示）；生产环境应接入工单或邮件并遵守隐私。</w:t>
      </w:r>
    </w:p>
    <w:p>
      <w:pPr>
        <w:pStyle w:val="Heading3"/>
      </w:pPr>
      <w:r>
        <w:rPr>
          <w:b/>
        </w:rPr>
        <w:t xml:space="preserve">6. 后台管理平台</w:t>
      </w:r>
    </w:p>
    <w:p>
      <w:r>
        <w:t xml:space="preserve">说明本应用为演示前端，不包含独立管理员后台；给出建议与跳转到预审、看板演示区的按钮。</w:t>
      </w:r>
    </w:p>
    <w:p>
      <w:pPr>
        <w:pStyle w:val="Heading2"/>
      </w:pPr>
      <w:r>
        <w:rPr>
          <w:b/>
        </w:rPr>
        <w:t xml:space="preserve">四、部署与模式说明</w:t>
      </w:r>
    </w:p>
    <w:p>
      <w:r>
        <w:t xml:space="preserve">GitHub Pages：工作流构建 frontend，设置 VITE_DEMO_ONLY 与仓库子路径 BASE_PATH，产物为静态文件。</w:t>
      </w:r>
    </w:p>
    <w:p>
      <w:r>
        <w:t xml:space="preserve">Docker Compose：可一键前后端（及 nginx）联调，详见 README。</w:t>
      </w:r>
    </w:p>
    <w:p>
      <w:pPr>
        <w:pStyle w:val="Heading2"/>
      </w:pPr>
      <w:r>
        <w:rPr>
          <w:b/>
        </w:rPr>
        <w:t xml:space="preserve">五、免责声明</w:t>
      </w:r>
    </w:p>
    <w:p>
      <w:r>
        <w:t xml:space="preserve">智能体与规则引擎输出均为基于公开政策归纳或演示规则，不构成审批结论；具体资格、金额、截止时间与材料以学校及学院当年正式通知为准。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</w:rPr>
    </w:rPrDefault>
  </w:docDefaults>
  <w:style w:type="paragraph" w:styleId="Normal" w:default="1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8"/>
    </w:rPr>
  </w:style>
  <w:style w:type="paragraph" w:styleId="Heading3">
    <w:name w:val="heading 3"/>
    <w:basedOn w:val="Normal"/>
    <w:uiPriority w:val="9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