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6400800" cy="3602364"/>
            <wp:docPr id="1" name="Picture 1"/>
            <wp:cNvGraphicFramePr>
              <a:graphicFrameLocks noChangeAspect="1"/>
            </wp:cNvGraphicFramePr>
            <a:graphic>
              <a:graphicData uri="http://schemas.openxmlformats.org/drawingml/2006/picture">
                <pic:pic>
                  <pic:nvPicPr>
                    <pic:cNvPr id="0" name="01-overview.png"/>
                    <pic:cNvPicPr/>
                  </pic:nvPicPr>
                  <pic:blipFill>
                    <a:blip r:embed="rId11"/>
                    <a:stretch>
                      <a:fillRect/>
                    </a:stretch>
                  </pic:blipFill>
                  <pic:spPr>
                    <a:xfrm>
                      <a:off x="0" y="0"/>
                      <a:ext cx="6400800" cy="3602364"/>
                    </a:xfrm>
                    <a:prstGeom prst="rect"/>
                  </pic:spPr>
                </pic:pic>
              </a:graphicData>
            </a:graphic>
          </wp:inline>
        </w:drawing>
      </w:r>
    </w:p>
    <w:p>
      <w:pPr>
        <w:jc w:val="center"/>
      </w:pPr>
      <w:r>
        <w:rPr>
          <w:b/>
          <w:color w:val="2F8FFF"/>
          <w:sz w:val="24"/>
        </w:rPr>
        <w:t>OWNER PROJECT DOCUMENTATION</w:t>
      </w:r>
    </w:p>
    <w:p>
      <w:pPr>
        <w:jc w:val="center"/>
      </w:pPr>
      <w:r>
        <w:rPr>
          <w:b/>
          <w:color w:val="07111F"/>
          <w:sz w:val="56"/>
        </w:rPr>
        <w:t>oxnet.work</w:t>
      </w:r>
    </w:p>
    <w:p>
      <w:pPr>
        <w:jc w:val="center"/>
      </w:pPr>
      <w:r>
        <w:rPr>
          <w:color w:val="5D6B7E"/>
          <w:sz w:val="24"/>
        </w:rPr>
        <w:t>Private command centre for access, compute, monitoring and automation</w:t>
      </w:r>
    </w:p>
    <w:p>
      <w:pPr>
        <w:jc w:val="center"/>
      </w:pPr>
      <w:r>
        <w:rPr>
          <w:color w:val="5D6B7E"/>
          <w:sz w:val="18"/>
        </w:rPr>
        <w:t>Build specification edition - 17 October 2026</w:t>
      </w:r>
    </w:p>
    <w:tbl>
      <w:tblPr>
        <w:tblW w:type="auto" w:w="0"/>
        <w:jc w:val="center"/>
        <w:tblLook w:firstColumn="1" w:firstRow="1" w:lastColumn="0" w:lastRow="0" w:noHBand="0" w:noVBand="1" w:val="04A0"/>
      </w:tblPr>
      <w:tblGrid>
        <w:gridCol w:w="10166"/>
      </w:tblGrid>
      <w:tr>
        <w:tc>
          <w:tcPr>
            <w:tcW w:type="dxa" w:w="10166"/>
            <w:shd w:fill="F3F8FC"/>
            <w:tcBorders>
              <w:top w:val="single" w:sz="10" w:color="A8C7DD"/>
              <w:left w:val="single" w:sz="10" w:color="A8C7DD"/>
              <w:bottom w:val="single" w:sz="10" w:color="A8C7DD"/>
              <w:right w:val="single" w:sz="10" w:color="A8C7DD"/>
            </w:tcBorders>
          </w:tcPr>
          <w:p>
            <w:pPr>
              <w:spacing w:after="40"/>
            </w:pPr>
            <w:r>
              <w:rPr>
                <w:b/>
                <w:color w:val="07111F"/>
                <w:sz w:val="21"/>
              </w:rPr>
              <w:t>Document purpose</w:t>
            </w:r>
          </w:p>
          <w:p>
            <w:pPr>
              <w:spacing w:after="0"/>
            </w:pPr>
            <w:r>
              <w:rPr>
                <w:sz w:val="18"/>
              </w:rPr>
              <w:t>This document is the owner-facing explanation of the agreed oxnet.work product, architecture, interface, security model and implementation roadmap. The development-agent handoff is supplied separately in the project pack.</w:t>
            </w:r>
          </w:p>
        </w:tc>
      </w:tr>
    </w:tbl>
    <w:p>
      <w:pPr>
        <w:spacing w:after="0"/>
      </w:pP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Contents</w:t>
      </w:r>
    </w:p>
    <w:tbl>
      <w:tblPr>
        <w:tblW w:type="auto" w:w="0"/>
        <w:jc w:val="center"/>
        <w:tblLayout w:type="fixed"/>
        <w:tblLook w:firstColumn="1" w:firstRow="1" w:lastColumn="0" w:lastRow="0" w:noHBand="0" w:noVBand="1" w:val="04A0"/>
      </w:tblPr>
      <w:tblGrid>
        <w:gridCol w:w="5083"/>
        <w:gridCol w:w="5083"/>
      </w:tblGrid>
      <w:tr>
        <w:tc>
          <w:tcPr>
            <w:tcW w:type="dxa" w:w="720"/>
            <w:shd w:fill="EAF8FF"/>
            <w:tcBorders>
              <w:top w:val="single" w:sz="6" w:color="E4EBF2"/>
              <w:left w:val="single" w:sz="6" w:color="E4EBF2"/>
              <w:bottom w:val="single" w:sz="6" w:color="E4EBF2"/>
              <w:right w:val="single" w:sz="6" w:color="E4EBF2"/>
            </w:tcBorders>
          </w:tcPr>
          <w:p>
            <w:r>
              <w:rPr>
                <w:b/>
                <w:color w:val="2F8FFF"/>
                <w:sz w:val="18"/>
              </w:rPr>
              <w:t>1</w:t>
            </w:r>
          </w:p>
        </w:tc>
        <w:tc>
          <w:tcPr>
            <w:tcW w:type="dxa" w:w="8928"/>
            <w:shd w:fill="F7FAFD"/>
            <w:tcBorders>
              <w:top w:val="single" w:sz="6" w:color="E4EBF2"/>
              <w:left w:val="single" w:sz="6" w:color="E4EBF2"/>
              <w:bottom w:val="single" w:sz="6" w:color="E4EBF2"/>
              <w:right w:val="single" w:sz="6" w:color="E4EBF2"/>
            </w:tcBorders>
          </w:tcPr>
          <w:p>
            <w:r>
              <w:rPr>
                <w:sz w:val="18"/>
              </w:rPr>
              <w:t>Executive summary</w:t>
            </w:r>
          </w:p>
        </w:tc>
      </w:tr>
      <w:tr>
        <w:tc>
          <w:tcPr>
            <w:tcW w:type="dxa" w:w="720"/>
            <w:shd w:fill="F7FAFD"/>
            <w:tcBorders>
              <w:top w:val="single" w:sz="6" w:color="E4EBF2"/>
              <w:left w:val="single" w:sz="6" w:color="E4EBF2"/>
              <w:bottom w:val="single" w:sz="6" w:color="E4EBF2"/>
              <w:right w:val="single" w:sz="6" w:color="E4EBF2"/>
            </w:tcBorders>
          </w:tcPr>
          <w:p>
            <w:r>
              <w:rPr>
                <w:b/>
                <w:color w:val="2F8FFF"/>
                <w:sz w:val="18"/>
              </w:rPr>
              <w:t>2</w:t>
            </w:r>
          </w:p>
        </w:tc>
        <w:tc>
          <w:tcPr>
            <w:tcW w:type="dxa" w:w="8928"/>
            <w:shd w:fill="FFFFFF"/>
            <w:tcBorders>
              <w:top w:val="single" w:sz="6" w:color="E4EBF2"/>
              <w:left w:val="single" w:sz="6" w:color="E4EBF2"/>
              <w:bottom w:val="single" w:sz="6" w:color="E4EBF2"/>
              <w:right w:val="single" w:sz="6" w:color="E4EBF2"/>
            </w:tcBorders>
          </w:tcPr>
          <w:p>
            <w:r>
              <w:rPr>
                <w:sz w:val="18"/>
              </w:rPr>
              <w:t>What oxnet.work is - and is not</w:t>
            </w:r>
          </w:p>
        </w:tc>
      </w:tr>
      <w:tr>
        <w:tc>
          <w:tcPr>
            <w:tcW w:type="dxa" w:w="720"/>
            <w:shd w:fill="EAF8FF"/>
            <w:tcBorders>
              <w:top w:val="single" w:sz="6" w:color="E4EBF2"/>
              <w:left w:val="single" w:sz="6" w:color="E4EBF2"/>
              <w:bottom w:val="single" w:sz="6" w:color="E4EBF2"/>
              <w:right w:val="single" w:sz="6" w:color="E4EBF2"/>
            </w:tcBorders>
          </w:tcPr>
          <w:p>
            <w:r>
              <w:rPr>
                <w:b/>
                <w:color w:val="2F8FFF"/>
                <w:sz w:val="18"/>
              </w:rPr>
              <w:t>3</w:t>
            </w:r>
          </w:p>
        </w:tc>
        <w:tc>
          <w:tcPr>
            <w:tcW w:type="dxa" w:w="8928"/>
            <w:shd w:fill="F7FAFD"/>
            <w:tcBorders>
              <w:top w:val="single" w:sz="6" w:color="E4EBF2"/>
              <w:left w:val="single" w:sz="6" w:color="E4EBF2"/>
              <w:bottom w:val="single" w:sz="6" w:color="E4EBF2"/>
              <w:right w:val="single" w:sz="6" w:color="E4EBF2"/>
            </w:tcBorders>
          </w:tcPr>
          <w:p>
            <w:r>
              <w:rPr>
                <w:sz w:val="18"/>
              </w:rPr>
              <w:t>Approved platform architecture</w:t>
            </w:r>
          </w:p>
        </w:tc>
      </w:tr>
      <w:tr>
        <w:tc>
          <w:tcPr>
            <w:tcW w:type="dxa" w:w="720"/>
            <w:shd w:fill="F7FAFD"/>
            <w:tcBorders>
              <w:top w:val="single" w:sz="6" w:color="E4EBF2"/>
              <w:left w:val="single" w:sz="6" w:color="E4EBF2"/>
              <w:bottom w:val="single" w:sz="6" w:color="E4EBF2"/>
              <w:right w:val="single" w:sz="6" w:color="E4EBF2"/>
            </w:tcBorders>
          </w:tcPr>
          <w:p>
            <w:r>
              <w:rPr>
                <w:b/>
                <w:color w:val="2F8FFF"/>
                <w:sz w:val="18"/>
              </w:rPr>
              <w:t>4</w:t>
            </w:r>
          </w:p>
        </w:tc>
        <w:tc>
          <w:tcPr>
            <w:tcW w:type="dxa" w:w="8928"/>
            <w:shd w:fill="FFFFFF"/>
            <w:tcBorders>
              <w:top w:val="single" w:sz="6" w:color="E4EBF2"/>
              <w:left w:val="single" w:sz="6" w:color="E4EBF2"/>
              <w:bottom w:val="single" w:sz="6" w:color="E4EBF2"/>
              <w:right w:val="single" w:sz="6" w:color="E4EBF2"/>
            </w:tcBorders>
          </w:tcPr>
          <w:p>
            <w:r>
              <w:rPr>
                <w:sz w:val="18"/>
              </w:rPr>
              <w:t>Lightweight deployment model</w:t>
            </w:r>
          </w:p>
        </w:tc>
      </w:tr>
      <w:tr>
        <w:tc>
          <w:tcPr>
            <w:tcW w:type="dxa" w:w="720"/>
            <w:shd w:fill="EAF8FF"/>
            <w:tcBorders>
              <w:top w:val="single" w:sz="6" w:color="E4EBF2"/>
              <w:left w:val="single" w:sz="6" w:color="E4EBF2"/>
              <w:bottom w:val="single" w:sz="6" w:color="E4EBF2"/>
              <w:right w:val="single" w:sz="6" w:color="E4EBF2"/>
            </w:tcBorders>
          </w:tcPr>
          <w:p>
            <w:r>
              <w:rPr>
                <w:b/>
                <w:color w:val="2F8FFF"/>
                <w:sz w:val="18"/>
              </w:rPr>
              <w:t>5</w:t>
            </w:r>
          </w:p>
        </w:tc>
        <w:tc>
          <w:tcPr>
            <w:tcW w:type="dxa" w:w="8928"/>
            <w:shd w:fill="F7FAFD"/>
            <w:tcBorders>
              <w:top w:val="single" w:sz="6" w:color="E4EBF2"/>
              <w:left w:val="single" w:sz="6" w:color="E4EBF2"/>
              <w:bottom w:val="single" w:sz="6" w:color="E4EBF2"/>
              <w:right w:val="single" w:sz="6" w:color="E4EBF2"/>
            </w:tcBorders>
          </w:tcPr>
          <w:p>
            <w:r>
              <w:rPr>
                <w:sz w:val="18"/>
              </w:rPr>
              <w:t>Command Centre UI</w:t>
            </w:r>
          </w:p>
        </w:tc>
      </w:tr>
      <w:tr>
        <w:tc>
          <w:tcPr>
            <w:tcW w:type="dxa" w:w="720"/>
            <w:shd w:fill="F7FAFD"/>
            <w:tcBorders>
              <w:top w:val="single" w:sz="6" w:color="E4EBF2"/>
              <w:left w:val="single" w:sz="6" w:color="E4EBF2"/>
              <w:bottom w:val="single" w:sz="6" w:color="E4EBF2"/>
              <w:right w:val="single" w:sz="6" w:color="E4EBF2"/>
            </w:tcBorders>
          </w:tcPr>
          <w:p>
            <w:r>
              <w:rPr>
                <w:b/>
                <w:color w:val="2F8FFF"/>
                <w:sz w:val="18"/>
              </w:rPr>
              <w:t>6</w:t>
            </w:r>
          </w:p>
        </w:tc>
        <w:tc>
          <w:tcPr>
            <w:tcW w:type="dxa" w:w="8928"/>
            <w:shd w:fill="FFFFFF"/>
            <w:tcBorders>
              <w:top w:val="single" w:sz="6" w:color="E4EBF2"/>
              <w:left w:val="single" w:sz="6" w:color="E4EBF2"/>
              <w:bottom w:val="single" w:sz="6" w:color="E4EBF2"/>
              <w:right w:val="single" w:sz="6" w:color="E4EBF2"/>
            </w:tcBorders>
          </w:tcPr>
          <w:p>
            <w:r>
              <w:rPr>
                <w:sz w:val="18"/>
              </w:rPr>
              <w:t>Compute and OpenCode model</w:t>
            </w:r>
          </w:p>
        </w:tc>
      </w:tr>
      <w:tr>
        <w:tc>
          <w:tcPr>
            <w:tcW w:type="dxa" w:w="720"/>
            <w:shd w:fill="EAF8FF"/>
            <w:tcBorders>
              <w:top w:val="single" w:sz="6" w:color="E4EBF2"/>
              <w:left w:val="single" w:sz="6" w:color="E4EBF2"/>
              <w:bottom w:val="single" w:sz="6" w:color="E4EBF2"/>
              <w:right w:val="single" w:sz="6" w:color="E4EBF2"/>
            </w:tcBorders>
          </w:tcPr>
          <w:p>
            <w:r>
              <w:rPr>
                <w:b/>
                <w:color w:val="2F8FFF"/>
                <w:sz w:val="18"/>
              </w:rPr>
              <w:t>7</w:t>
            </w:r>
          </w:p>
        </w:tc>
        <w:tc>
          <w:tcPr>
            <w:tcW w:type="dxa" w:w="8928"/>
            <w:shd w:fill="F7FAFD"/>
            <w:tcBorders>
              <w:top w:val="single" w:sz="6" w:color="E4EBF2"/>
              <w:left w:val="single" w:sz="6" w:color="E4EBF2"/>
              <w:bottom w:val="single" w:sz="6" w:color="E4EBF2"/>
              <w:right w:val="single" w:sz="6" w:color="E4EBF2"/>
            </w:tcBorders>
          </w:tcPr>
          <w:p>
            <w:r>
              <w:rPr>
                <w:sz w:val="18"/>
              </w:rPr>
              <w:t>Network and access model</w:t>
            </w:r>
          </w:p>
        </w:tc>
      </w:tr>
      <w:tr>
        <w:tc>
          <w:tcPr>
            <w:tcW w:type="dxa" w:w="720"/>
            <w:shd w:fill="F7FAFD"/>
            <w:tcBorders>
              <w:top w:val="single" w:sz="6" w:color="E4EBF2"/>
              <w:left w:val="single" w:sz="6" w:color="E4EBF2"/>
              <w:bottom w:val="single" w:sz="6" w:color="E4EBF2"/>
              <w:right w:val="single" w:sz="6" w:color="E4EBF2"/>
            </w:tcBorders>
          </w:tcPr>
          <w:p>
            <w:r>
              <w:rPr>
                <w:b/>
                <w:color w:val="2F8FFF"/>
                <w:sz w:val="18"/>
              </w:rPr>
              <w:t>8</w:t>
            </w:r>
          </w:p>
        </w:tc>
        <w:tc>
          <w:tcPr>
            <w:tcW w:type="dxa" w:w="8928"/>
            <w:shd w:fill="FFFFFF"/>
            <w:tcBorders>
              <w:top w:val="single" w:sz="6" w:color="E4EBF2"/>
              <w:left w:val="single" w:sz="6" w:color="E4EBF2"/>
              <w:bottom w:val="single" w:sz="6" w:color="E4EBF2"/>
              <w:right w:val="single" w:sz="6" w:color="E4EBF2"/>
            </w:tcBorders>
          </w:tcPr>
          <w:p>
            <w:r>
              <w:rPr>
                <w:sz w:val="18"/>
              </w:rPr>
              <w:t>Automation model</w:t>
            </w:r>
          </w:p>
        </w:tc>
      </w:tr>
      <w:tr>
        <w:tc>
          <w:tcPr>
            <w:tcW w:type="dxa" w:w="720"/>
            <w:shd w:fill="EAF8FF"/>
            <w:tcBorders>
              <w:top w:val="single" w:sz="6" w:color="E4EBF2"/>
              <w:left w:val="single" w:sz="6" w:color="E4EBF2"/>
              <w:bottom w:val="single" w:sz="6" w:color="E4EBF2"/>
              <w:right w:val="single" w:sz="6" w:color="E4EBF2"/>
            </w:tcBorders>
          </w:tcPr>
          <w:p>
            <w:r>
              <w:rPr>
                <w:b/>
                <w:color w:val="2F8FFF"/>
                <w:sz w:val="18"/>
              </w:rPr>
              <w:t>9</w:t>
            </w:r>
          </w:p>
        </w:tc>
        <w:tc>
          <w:tcPr>
            <w:tcW w:type="dxa" w:w="8928"/>
            <w:shd w:fill="F7FAFD"/>
            <w:tcBorders>
              <w:top w:val="single" w:sz="6" w:color="E4EBF2"/>
              <w:left w:val="single" w:sz="6" w:color="E4EBF2"/>
              <w:bottom w:val="single" w:sz="6" w:color="E4EBF2"/>
              <w:right w:val="single" w:sz="6" w:color="E4EBF2"/>
            </w:tcBorders>
          </w:tcPr>
          <w:p>
            <w:r>
              <w:rPr>
                <w:sz w:val="18"/>
              </w:rPr>
              <w:t>Security and trust boundaries</w:t>
            </w:r>
          </w:p>
        </w:tc>
      </w:tr>
      <w:tr>
        <w:tc>
          <w:tcPr>
            <w:tcW w:type="dxa" w:w="720"/>
            <w:shd w:fill="F7FAFD"/>
            <w:tcBorders>
              <w:top w:val="single" w:sz="6" w:color="E4EBF2"/>
              <w:left w:val="single" w:sz="6" w:color="E4EBF2"/>
              <w:bottom w:val="single" w:sz="6" w:color="E4EBF2"/>
              <w:right w:val="single" w:sz="6" w:color="E4EBF2"/>
            </w:tcBorders>
          </w:tcPr>
          <w:p>
            <w:r>
              <w:rPr>
                <w:b/>
                <w:color w:val="2F8FFF"/>
                <w:sz w:val="18"/>
              </w:rPr>
              <w:t>10</w:t>
            </w:r>
          </w:p>
        </w:tc>
        <w:tc>
          <w:tcPr>
            <w:tcW w:type="dxa" w:w="8928"/>
            <w:shd w:fill="FFFFFF"/>
            <w:tcBorders>
              <w:top w:val="single" w:sz="6" w:color="E4EBF2"/>
              <w:left w:val="single" w:sz="6" w:color="E4EBF2"/>
              <w:bottom w:val="single" w:sz="6" w:color="E4EBF2"/>
              <w:right w:val="single" w:sz="6" w:color="E4EBF2"/>
            </w:tcBorders>
          </w:tcPr>
          <w:p>
            <w:r>
              <w:rPr>
                <w:sz w:val="18"/>
              </w:rPr>
              <w:t>Integration plan</w:t>
            </w:r>
          </w:p>
        </w:tc>
      </w:tr>
      <w:tr>
        <w:tc>
          <w:tcPr>
            <w:tcW w:type="dxa" w:w="720"/>
            <w:shd w:fill="EAF8FF"/>
            <w:tcBorders>
              <w:top w:val="single" w:sz="6" w:color="E4EBF2"/>
              <w:left w:val="single" w:sz="6" w:color="E4EBF2"/>
              <w:bottom w:val="single" w:sz="6" w:color="E4EBF2"/>
              <w:right w:val="single" w:sz="6" w:color="E4EBF2"/>
            </w:tcBorders>
          </w:tcPr>
          <w:p>
            <w:r>
              <w:rPr>
                <w:b/>
                <w:color w:val="2F8FFF"/>
                <w:sz w:val="18"/>
              </w:rPr>
              <w:t>11</w:t>
            </w:r>
          </w:p>
        </w:tc>
        <w:tc>
          <w:tcPr>
            <w:tcW w:type="dxa" w:w="8928"/>
            <w:shd w:fill="F7FAFD"/>
            <w:tcBorders>
              <w:top w:val="single" w:sz="6" w:color="E4EBF2"/>
              <w:left w:val="single" w:sz="6" w:color="E4EBF2"/>
              <w:bottom w:val="single" w:sz="6" w:color="E4EBF2"/>
              <w:right w:val="single" w:sz="6" w:color="E4EBF2"/>
            </w:tcBorders>
          </w:tcPr>
          <w:p>
            <w:r>
              <w:rPr>
                <w:sz w:val="18"/>
              </w:rPr>
              <w:t>Build roadmap</w:t>
            </w:r>
          </w:p>
        </w:tc>
      </w:tr>
      <w:tr>
        <w:tc>
          <w:tcPr>
            <w:tcW w:type="dxa" w:w="720"/>
            <w:shd w:fill="F7FAFD"/>
            <w:tcBorders>
              <w:top w:val="single" w:sz="6" w:color="E4EBF2"/>
              <w:left w:val="single" w:sz="6" w:color="E4EBF2"/>
              <w:bottom w:val="single" w:sz="6" w:color="E4EBF2"/>
              <w:right w:val="single" w:sz="6" w:color="E4EBF2"/>
            </w:tcBorders>
          </w:tcPr>
          <w:p>
            <w:r>
              <w:rPr>
                <w:b/>
                <w:color w:val="2F8FFF"/>
                <w:sz w:val="18"/>
              </w:rPr>
              <w:t>12</w:t>
            </w:r>
          </w:p>
        </w:tc>
        <w:tc>
          <w:tcPr>
            <w:tcW w:type="dxa" w:w="8928"/>
            <w:shd w:fill="FFFFFF"/>
            <w:tcBorders>
              <w:top w:val="single" w:sz="6" w:color="E4EBF2"/>
              <w:left w:val="single" w:sz="6" w:color="E4EBF2"/>
              <w:bottom w:val="single" w:sz="6" w:color="E4EBF2"/>
              <w:right w:val="single" w:sz="6" w:color="E4EBF2"/>
            </w:tcBorders>
          </w:tcPr>
          <w:p>
            <w:r>
              <w:rPr>
                <w:sz w:val="18"/>
              </w:rPr>
              <w:t>Owner operations and recovery</w:t>
            </w:r>
          </w:p>
        </w:tc>
      </w:tr>
      <w:tr>
        <w:tc>
          <w:tcPr>
            <w:tcW w:type="dxa" w:w="720"/>
            <w:shd w:fill="EAF8FF"/>
            <w:tcBorders>
              <w:top w:val="single" w:sz="6" w:color="E4EBF2"/>
              <w:left w:val="single" w:sz="6" w:color="E4EBF2"/>
              <w:bottom w:val="single" w:sz="6" w:color="E4EBF2"/>
              <w:right w:val="single" w:sz="6" w:color="E4EBF2"/>
            </w:tcBorders>
          </w:tcPr>
          <w:p>
            <w:r>
              <w:rPr>
                <w:b/>
                <w:color w:val="2F8FFF"/>
                <w:sz w:val="18"/>
              </w:rPr>
              <w:t>13</w:t>
            </w:r>
          </w:p>
        </w:tc>
        <w:tc>
          <w:tcPr>
            <w:tcW w:type="dxa" w:w="8928"/>
            <w:shd w:fill="F7FAFD"/>
            <w:tcBorders>
              <w:top w:val="single" w:sz="6" w:color="E4EBF2"/>
              <w:left w:val="single" w:sz="6" w:color="E4EBF2"/>
              <w:bottom w:val="single" w:sz="6" w:color="E4EBF2"/>
              <w:right w:val="single" w:sz="6" w:color="E4EBF2"/>
            </w:tcBorders>
          </w:tcPr>
          <w:p>
            <w:r>
              <w:rPr>
                <w:sz w:val="18"/>
              </w:rPr>
              <w:t>Agent development model</w:t>
            </w:r>
          </w:p>
        </w:tc>
      </w:tr>
      <w:tr>
        <w:tc>
          <w:tcPr>
            <w:tcW w:type="dxa" w:w="720"/>
            <w:shd w:fill="F7FAFD"/>
            <w:tcBorders>
              <w:top w:val="single" w:sz="6" w:color="E4EBF2"/>
              <w:left w:val="single" w:sz="6" w:color="E4EBF2"/>
              <w:bottom w:val="single" w:sz="6" w:color="E4EBF2"/>
              <w:right w:val="single" w:sz="6" w:color="E4EBF2"/>
            </w:tcBorders>
          </w:tcPr>
          <w:p>
            <w:r>
              <w:rPr>
                <w:b/>
                <w:color w:val="2F8FFF"/>
                <w:sz w:val="18"/>
              </w:rPr>
              <w:t>14</w:t>
            </w:r>
          </w:p>
        </w:tc>
        <w:tc>
          <w:tcPr>
            <w:tcW w:type="dxa" w:w="8928"/>
            <w:shd w:fill="FFFFFF"/>
            <w:tcBorders>
              <w:top w:val="single" w:sz="6" w:color="E4EBF2"/>
              <w:left w:val="single" w:sz="6" w:color="E4EBF2"/>
              <w:bottom w:val="single" w:sz="6" w:color="E4EBF2"/>
              <w:right w:val="single" w:sz="6" w:color="E4EBF2"/>
            </w:tcBorders>
          </w:tcPr>
          <w:p>
            <w:r>
              <w:rPr>
                <w:sz w:val="18"/>
              </w:rPr>
              <w:t>Decisions and future direction</w:t>
            </w:r>
          </w:p>
        </w:tc>
      </w:tr>
    </w:tbl>
    <w:tbl>
      <w:tblPr>
        <w:tblW w:type="auto" w:w="0"/>
        <w:jc w:val="center"/>
        <w:tblLook w:firstColumn="1" w:firstRow="1" w:lastColumn="0" w:lastRow="0" w:noHBand="0" w:noVBand="1" w:val="04A0"/>
      </w:tblPr>
      <w:tblGrid>
        <w:gridCol w:w="10166"/>
      </w:tblGrid>
      <w:tr>
        <w:tc>
          <w:tcPr>
            <w:tcW w:type="dxa" w:w="10166"/>
            <w:shd w:fill="FFF7E8"/>
            <w:tcBorders>
              <w:top w:val="single" w:sz="10" w:color="F3AE45"/>
              <w:left w:val="single" w:sz="10" w:color="F3AE45"/>
              <w:bottom w:val="single" w:sz="10" w:color="F3AE45"/>
              <w:right w:val="single" w:sz="10" w:color="F3AE45"/>
            </w:tcBorders>
          </w:tcPr>
          <w:p>
            <w:pPr>
              <w:spacing w:after="40"/>
            </w:pPr>
            <w:r>
              <w:rPr>
                <w:b/>
                <w:color w:val="07111F"/>
                <w:sz w:val="21"/>
              </w:rPr>
              <w:t>Important</w:t>
            </w:r>
          </w:p>
          <w:p>
            <w:pPr>
              <w:spacing w:after="0"/>
            </w:pPr>
            <w:r>
              <w:rPr>
                <w:sz w:val="18"/>
              </w:rPr>
              <w:t>Values shown inside the UI mockups are illustrative design data. They must not be treated as the owner's live host specifications, IP addresses, software versions, usernames, or capacities.</w:t>
            </w:r>
          </w:p>
        </w:tc>
      </w:tr>
    </w:tbl>
    <w:p>
      <w:pPr>
        <w:spacing w:after="0"/>
      </w:pP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1. Executive summary</w:t>
      </w:r>
    </w:p>
    <w:p>
      <w:r>
        <w:t>oxnet.work will be a small self-hosted control plane that brings together the systems already forming the OXNetwork: private connectivity, controlled remote exposure, remote administration, Docker services, shared OpenCode compute, monitoring, automation and recovery. Its job is not to replace those specialist systems; its job is to make them understandable and operable from one coherent interface.</w:t>
      </w:r>
    </w:p>
    <w:p>
      <w:pPr>
        <w:pStyle w:val="ListBullet"/>
        <w:spacing w:after="40"/>
      </w:pPr>
      <w:r>
        <w:rPr>
          <w:rFonts w:ascii="Liberation Sans" w:hAnsi="Liberation Sans"/>
        </w:rPr>
        <w:t>One command centre: health, capacity, services, jobs, topology, automations and activity in one UI.</w:t>
      </w:r>
    </w:p>
    <w:p>
      <w:pPr>
        <w:pStyle w:val="ListBullet"/>
        <w:spacing w:after="40"/>
      </w:pPr>
      <w:r>
        <w:rPr>
          <w:rFonts w:ascii="Liberation Sans" w:hAnsi="Liberation Sans"/>
        </w:rPr>
        <w:t>Lightweight by design: one Go control-plane process, compiled React frontend, SQLite, optional tiny node agents.</w:t>
      </w:r>
    </w:p>
    <w:p>
      <w:pPr>
        <w:pStyle w:val="ListBullet"/>
        <w:spacing w:after="40"/>
      </w:pPr>
      <w:r>
        <w:rPr>
          <w:rFonts w:ascii="Liberation Sans" w:hAnsi="Liberation Sans"/>
        </w:rPr>
        <w:t>Private by default: use Tailscale for normal access; Pangolin exposure is optional and protected by authentication/access policy.</w:t>
      </w:r>
    </w:p>
    <w:p>
      <w:pPr>
        <w:pStyle w:val="ListBullet"/>
        <w:spacing w:after="40"/>
      </w:pPr>
      <w:r>
        <w:rPr>
          <w:rFonts w:ascii="Liberation Sans" w:hAnsi="Liberation Sans"/>
        </w:rPr>
        <w:t>Safe actions: wake, drain, restart, deploy and backup are capability-scoped, confirmed and audited.</w:t>
      </w:r>
    </w:p>
    <w:p>
      <w:pPr>
        <w:pStyle w:val="ListBullet"/>
        <w:spacing w:after="40"/>
      </w:pPr>
      <w:r>
        <w:rPr>
          <w:rFonts w:ascii="Liberation Sans" w:hAnsi="Liberation Sans"/>
        </w:rPr>
        <w:t>No heavyweight orchestration platform is required: no Redis, Kafka, Kubernetes or external database for v1.</w:t>
      </w:r>
    </w:p>
    <w:p>
      <w:pPr>
        <w:pStyle w:val="ListBullet"/>
        <w:spacing w:after="40"/>
      </w:pPr>
      <w:r>
        <w:rPr>
          <w:rFonts w:ascii="Liberation Sans" w:hAnsi="Liberation Sans"/>
        </w:rPr>
        <w:t>OpenCode becomes part of a visible compute pool rather than a separate collection of machines.</w:t>
      </w:r>
    </w:p>
    <w:tbl>
      <w:tblPr>
        <w:tblW w:type="auto" w:w="0"/>
        <w:jc w:val="center"/>
        <w:tblLayout w:type="fixed"/>
        <w:tblLook w:firstColumn="1" w:firstRow="1" w:lastColumn="0" w:lastRow="0" w:noHBand="0" w:noVBand="1" w:val="04A0"/>
      </w:tblPr>
      <w:tblGrid>
        <w:gridCol w:w="5083"/>
        <w:gridCol w:w="5083"/>
      </w:tblGrid>
      <w:tr>
        <w:tc>
          <w:tcPr>
            <w:tcW w:type="dxa" w:w="3024"/>
            <w:shd w:fill="07111F"/>
            <w:tcBorders>
              <w:top w:val="single" w:sz="6" w:color="07111F"/>
              <w:left w:val="single" w:sz="6" w:color="07111F"/>
              <w:bottom w:val="single" w:sz="6" w:color="07111F"/>
              <w:right w:val="single" w:sz="6" w:color="07111F"/>
            </w:tcBorders>
          </w:tcPr>
          <w:p>
            <w:r>
              <w:rPr>
                <w:b/>
                <w:color w:val="FFFFFF"/>
                <w:sz w:val="18"/>
              </w:rPr>
              <w:t>Decision</w:t>
            </w:r>
          </w:p>
        </w:tc>
        <w:tc>
          <w:tcPr>
            <w:tcW w:type="dxa" w:w="6768"/>
            <w:shd w:fill="07111F"/>
            <w:tcBorders>
              <w:top w:val="single" w:sz="6" w:color="07111F"/>
              <w:left w:val="single" w:sz="6" w:color="07111F"/>
              <w:bottom w:val="single" w:sz="6" w:color="07111F"/>
              <w:right w:val="single" w:sz="6" w:color="07111F"/>
            </w:tcBorders>
          </w:tcPr>
          <w:p>
            <w:r>
              <w:rPr>
                <w:b/>
                <w:color w:val="FFFFFF"/>
                <w:sz w:val="18"/>
              </w:rPr>
              <w:t>Approved direction</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Project/domain</w:t>
            </w:r>
          </w:p>
        </w:tc>
        <w:tc>
          <w:tcPr>
            <w:tcW w:type="dxa" w:w="6768"/>
            <w:shd w:fill="F3F7FB"/>
            <w:tcBorders>
              <w:top w:val="single" w:sz="6" w:color="D8E2EC"/>
              <w:left w:val="single" w:sz="6" w:color="D8E2EC"/>
              <w:bottom w:val="single" w:sz="6" w:color="D8E2EC"/>
              <w:right w:val="single" w:sz="6" w:color="D8E2EC"/>
            </w:tcBorders>
            <w:vAlign w:val="center"/>
          </w:tcPr>
          <w:p>
            <w:r>
              <w:rPr>
                <w:sz w:val="17"/>
              </w:rPr>
              <w:t>oxnet.work</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Primary role</w:t>
            </w:r>
          </w:p>
        </w:tc>
        <w:tc>
          <w:tcPr>
            <w:tcW w:type="dxa" w:w="6768"/>
            <w:shd w:fill="FFFFFF"/>
            <w:tcBorders>
              <w:top w:val="single" w:sz="6" w:color="D8E2EC"/>
              <w:left w:val="single" w:sz="6" w:color="D8E2EC"/>
              <w:bottom w:val="single" w:sz="6" w:color="D8E2EC"/>
              <w:right w:val="single" w:sz="6" w:color="D8E2EC"/>
            </w:tcBorders>
            <w:vAlign w:val="center"/>
          </w:tcPr>
          <w:p>
            <w:r>
              <w:rPr>
                <w:sz w:val="17"/>
              </w:rPr>
              <w:t>Private infrastructure command centre</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Default runtime</w:t>
            </w:r>
          </w:p>
        </w:tc>
        <w:tc>
          <w:tcPr>
            <w:tcW w:type="dxa" w:w="6768"/>
            <w:shd w:fill="F3F7FB"/>
            <w:tcBorders>
              <w:top w:val="single" w:sz="6" w:color="D8E2EC"/>
              <w:left w:val="single" w:sz="6" w:color="D8E2EC"/>
              <w:bottom w:val="single" w:sz="6" w:color="D8E2EC"/>
              <w:right w:val="single" w:sz="6" w:color="D8E2EC"/>
            </w:tcBorders>
            <w:vAlign w:val="center"/>
          </w:tcPr>
          <w:p>
            <w:r>
              <w:rPr>
                <w:sz w:val="17"/>
              </w:rPr>
              <w:t>Single Docker control-plane container + optional node agents</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Backend</w:t>
            </w:r>
          </w:p>
        </w:tc>
        <w:tc>
          <w:tcPr>
            <w:tcW w:type="dxa" w:w="6768"/>
            <w:shd w:fill="FFFFFF"/>
            <w:tcBorders>
              <w:top w:val="single" w:sz="6" w:color="D8E2EC"/>
              <w:left w:val="single" w:sz="6" w:color="D8E2EC"/>
              <w:bottom w:val="single" w:sz="6" w:color="D8E2EC"/>
              <w:right w:val="single" w:sz="6" w:color="D8E2EC"/>
            </w:tcBorders>
            <w:vAlign w:val="center"/>
          </w:tcPr>
          <w:p>
            <w:r>
              <w:rPr>
                <w:sz w:val="17"/>
              </w:rPr>
              <w:t>Go</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Frontend</w:t>
            </w:r>
          </w:p>
        </w:tc>
        <w:tc>
          <w:tcPr>
            <w:tcW w:type="dxa" w:w="6768"/>
            <w:shd w:fill="F3F7FB"/>
            <w:tcBorders>
              <w:top w:val="single" w:sz="6" w:color="D8E2EC"/>
              <w:left w:val="single" w:sz="6" w:color="D8E2EC"/>
              <w:bottom w:val="single" w:sz="6" w:color="D8E2EC"/>
              <w:right w:val="single" w:sz="6" w:color="D8E2EC"/>
            </w:tcBorders>
            <w:vAlign w:val="center"/>
          </w:tcPr>
          <w:p>
            <w:r>
              <w:rPr>
                <w:sz w:val="17"/>
              </w:rPr>
              <w:t>React + TypeScript + Vite</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Data store</w:t>
            </w:r>
          </w:p>
        </w:tc>
        <w:tc>
          <w:tcPr>
            <w:tcW w:type="dxa" w:w="6768"/>
            <w:shd w:fill="FFFFFF"/>
            <w:tcBorders>
              <w:top w:val="single" w:sz="6" w:color="D8E2EC"/>
              <w:left w:val="single" w:sz="6" w:color="D8E2EC"/>
              <w:bottom w:val="single" w:sz="6" w:color="D8E2EC"/>
              <w:right w:val="single" w:sz="6" w:color="D8E2EC"/>
            </w:tcBorders>
            <w:vAlign w:val="center"/>
          </w:tcPr>
          <w:p>
            <w:r>
              <w:rPr>
                <w:sz w:val="17"/>
              </w:rPr>
              <w:t>SQLite with migrations and WAL</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Live updates</w:t>
            </w:r>
          </w:p>
        </w:tc>
        <w:tc>
          <w:tcPr>
            <w:tcW w:type="dxa" w:w="6768"/>
            <w:shd w:fill="F3F7FB"/>
            <w:tcBorders>
              <w:top w:val="single" w:sz="6" w:color="D8E2EC"/>
              <w:left w:val="single" w:sz="6" w:color="D8E2EC"/>
              <w:bottom w:val="single" w:sz="6" w:color="D8E2EC"/>
              <w:right w:val="single" w:sz="6" w:color="D8E2EC"/>
            </w:tcBorders>
            <w:vAlign w:val="center"/>
          </w:tcPr>
          <w:p>
            <w:r>
              <w:rPr>
                <w:sz w:val="17"/>
              </w:rPr>
              <w:t>Server-Sent Events</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Default access</w:t>
            </w:r>
          </w:p>
        </w:tc>
        <w:tc>
          <w:tcPr>
            <w:tcW w:type="dxa" w:w="6768"/>
            <w:shd w:fill="FFFFFF"/>
            <w:tcBorders>
              <w:top w:val="single" w:sz="6" w:color="D8E2EC"/>
              <w:left w:val="single" w:sz="6" w:color="D8E2EC"/>
              <w:bottom w:val="single" w:sz="6" w:color="D8E2EC"/>
              <w:right w:val="single" w:sz="6" w:color="D8E2EC"/>
            </w:tcBorders>
            <w:vAlign w:val="center"/>
          </w:tcPr>
          <w:p>
            <w:r>
              <w:rPr>
                <w:sz w:val="17"/>
              </w:rPr>
              <w:t>Tailscale/private network</w:t>
            </w:r>
          </w:p>
        </w:tc>
      </w:tr>
    </w:tbl>
    <w:p>
      <w:pPr>
        <w:spacing w:after="0"/>
      </w:pP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2. What oxnet.work is - and is not</w:t>
      </w:r>
    </w:p>
    <w:p>
      <w:pPr>
        <w:pStyle w:val="Heading2"/>
      </w:pPr>
      <w:r>
        <w:t>The layer above the tools</w:t>
      </w:r>
    </w:p>
    <w:p>
      <w:r>
        <w:t>Pangolin, Tailscale, Docker, Grafana, monitoring tools and OpenCode each solve specialist problems. oxnet.work sits above them as the owner-facing operational layer: it normalizes their state, shows relationships, exposes a small number of safe actions and records what happened.</w:t>
      </w:r>
    </w:p>
    <w:tbl>
      <w:tblPr>
        <w:tblW w:type="auto" w:w="0"/>
        <w:jc w:val="center"/>
        <w:tblLayout w:type="fixed"/>
        <w:tblLook w:firstColumn="1" w:firstRow="1" w:lastColumn="0" w:lastRow="0" w:noHBand="0" w:noVBand="1" w:val="04A0"/>
      </w:tblPr>
      <w:tblGrid>
        <w:gridCol w:w="5083"/>
        <w:gridCol w:w="5083"/>
      </w:tblGrid>
      <w:tr>
        <w:tc>
          <w:tcPr>
            <w:tcW w:type="dxa" w:w="3024"/>
            <w:shd w:fill="07111F"/>
            <w:tcBorders>
              <w:top w:val="single" w:sz="6" w:color="07111F"/>
              <w:left w:val="single" w:sz="6" w:color="07111F"/>
              <w:bottom w:val="single" w:sz="6" w:color="07111F"/>
              <w:right w:val="single" w:sz="6" w:color="07111F"/>
            </w:tcBorders>
          </w:tcPr>
          <w:p>
            <w:r>
              <w:rPr>
                <w:b/>
                <w:color w:val="FFFFFF"/>
                <w:sz w:val="18"/>
              </w:rPr>
              <w:t>Existing capability</w:t>
            </w:r>
          </w:p>
        </w:tc>
        <w:tc>
          <w:tcPr>
            <w:tcW w:type="dxa" w:w="6768"/>
            <w:shd w:fill="07111F"/>
            <w:tcBorders>
              <w:top w:val="single" w:sz="6" w:color="07111F"/>
              <w:left w:val="single" w:sz="6" w:color="07111F"/>
              <w:bottom w:val="single" w:sz="6" w:color="07111F"/>
              <w:right w:val="single" w:sz="6" w:color="07111F"/>
            </w:tcBorders>
          </w:tcPr>
          <w:p>
            <w:r>
              <w:rPr>
                <w:b/>
                <w:color w:val="FFFFFF"/>
                <w:sz w:val="18"/>
              </w:rPr>
              <w:t>How oxnet.work complements it</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Pangolin</w:t>
            </w:r>
          </w:p>
        </w:tc>
        <w:tc>
          <w:tcPr>
            <w:tcW w:type="dxa" w:w="6768"/>
            <w:shd w:fill="F3F7FB"/>
            <w:tcBorders>
              <w:top w:val="single" w:sz="6" w:color="D8E2EC"/>
              <w:left w:val="single" w:sz="6" w:color="D8E2EC"/>
              <w:bottom w:val="single" w:sz="6" w:color="D8E2EC"/>
              <w:right w:val="single" w:sz="6" w:color="D8E2EC"/>
            </w:tcBorders>
            <w:vAlign w:val="center"/>
          </w:tcPr>
          <w:p>
            <w:r>
              <w:rPr>
                <w:sz w:val="17"/>
              </w:rPr>
              <w:t>Controlled external access / exposed resources; oxnet.work shows exposure and links/actions where safe.</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Tailscale</w:t>
            </w:r>
          </w:p>
        </w:tc>
        <w:tc>
          <w:tcPr>
            <w:tcW w:type="dxa" w:w="6768"/>
            <w:shd w:fill="FFFFFF"/>
            <w:tcBorders>
              <w:top w:val="single" w:sz="6" w:color="D8E2EC"/>
              <w:left w:val="single" w:sz="6" w:color="D8E2EC"/>
              <w:bottom w:val="single" w:sz="6" w:color="D8E2EC"/>
              <w:right w:val="single" w:sz="6" w:color="D8E2EC"/>
            </w:tcBorders>
            <w:vAlign w:val="center"/>
          </w:tcPr>
          <w:p>
            <w:r>
              <w:rPr>
                <w:sz w:val="17"/>
              </w:rPr>
              <w:t>Private device mesh and identity/reachability; oxnet.work uses it for node context and private access.</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RDP / SSH</w:t>
            </w:r>
          </w:p>
        </w:tc>
        <w:tc>
          <w:tcPr>
            <w:tcW w:type="dxa" w:w="6768"/>
            <w:shd w:fill="F3F7FB"/>
            <w:tcBorders>
              <w:top w:val="single" w:sz="6" w:color="D8E2EC"/>
              <w:left w:val="single" w:sz="6" w:color="D8E2EC"/>
              <w:bottom w:val="single" w:sz="6" w:color="D8E2EC"/>
              <w:right w:val="single" w:sz="6" w:color="D8E2EC"/>
            </w:tcBorders>
            <w:vAlign w:val="center"/>
          </w:tcPr>
          <w:p>
            <w:r>
              <w:rPr>
                <w:sz w:val="17"/>
              </w:rPr>
              <w:t>Direct administration; oxnet.work launches/copies connection details rather than embedding a full remote terminal in v1.</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Docker</w:t>
            </w:r>
          </w:p>
        </w:tc>
        <w:tc>
          <w:tcPr>
            <w:tcW w:type="dxa" w:w="6768"/>
            <w:shd w:fill="FFFFFF"/>
            <w:tcBorders>
              <w:top w:val="single" w:sz="6" w:color="D8E2EC"/>
              <w:left w:val="single" w:sz="6" w:color="D8E2EC"/>
              <w:bottom w:val="single" w:sz="6" w:color="D8E2EC"/>
              <w:right w:val="single" w:sz="6" w:color="D8E2EC"/>
            </w:tcBorders>
            <w:vAlign w:val="center"/>
          </w:tcPr>
          <w:p>
            <w:r>
              <w:rPr>
                <w:sz w:val="17"/>
              </w:rPr>
              <w:t>Container runtime; oxnet.work inventories and later performs bounded actions through local agents.</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OpenCode</w:t>
            </w:r>
          </w:p>
        </w:tc>
        <w:tc>
          <w:tcPr>
            <w:tcW w:type="dxa" w:w="6768"/>
            <w:shd w:fill="F3F7FB"/>
            <w:tcBorders>
              <w:top w:val="single" w:sz="6" w:color="D8E2EC"/>
              <w:left w:val="single" w:sz="6" w:color="D8E2EC"/>
              <w:bottom w:val="single" w:sz="6" w:color="D8E2EC"/>
              <w:right w:val="single" w:sz="6" w:color="D8E2EC"/>
            </w:tcBorders>
            <w:vAlign w:val="center"/>
          </w:tcPr>
          <w:p>
            <w:r>
              <w:rPr>
                <w:sz w:val="17"/>
              </w:rPr>
              <w:t>Distributed coding/compute; oxnet.work presents workers, jobs, capacity and placement.</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Monitoring</w:t>
            </w:r>
          </w:p>
        </w:tc>
        <w:tc>
          <w:tcPr>
            <w:tcW w:type="dxa" w:w="6768"/>
            <w:shd w:fill="FFFFFF"/>
            <w:tcBorders>
              <w:top w:val="single" w:sz="6" w:color="D8E2EC"/>
              <w:left w:val="single" w:sz="6" w:color="D8E2EC"/>
              <w:bottom w:val="single" w:sz="6" w:color="D8E2EC"/>
              <w:right w:val="single" w:sz="6" w:color="D8E2EC"/>
            </w:tcBorders>
            <w:vAlign w:val="center"/>
          </w:tcPr>
          <w:p>
            <w:r>
              <w:rPr>
                <w:sz w:val="17"/>
              </w:rPr>
              <w:t>Deep metrics remain in specialist tools; oxnet.work shows operational summaries and freshness.</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Automation</w:t>
            </w:r>
          </w:p>
        </w:tc>
        <w:tc>
          <w:tcPr>
            <w:tcW w:type="dxa" w:w="6768"/>
            <w:shd w:fill="F3F7FB"/>
            <w:tcBorders>
              <w:top w:val="single" w:sz="6" w:color="D8E2EC"/>
              <w:left w:val="single" w:sz="6" w:color="D8E2EC"/>
              <w:bottom w:val="single" w:sz="6" w:color="D8E2EC"/>
              <w:right w:val="single" w:sz="6" w:color="D8E2EC"/>
            </w:tcBorders>
            <w:vAlign w:val="center"/>
          </w:tcPr>
          <w:p>
            <w:r>
              <w:rPr>
                <w:sz w:val="17"/>
              </w:rPr>
              <w:t>oxnet.work provides simple, auditable operational workflows, not a general enterprise workflow engine.</w:t>
            </w:r>
          </w:p>
        </w:tc>
      </w:tr>
    </w:tbl>
    <w:p>
      <w:pPr>
        <w:spacing w:after="0"/>
      </w:pPr>
    </w:p>
    <w:p>
      <w:pPr>
        <w:pStyle w:val="Heading2"/>
      </w:pPr>
      <w:r>
        <w:t>Explicit v1 boundaries</w:t>
      </w:r>
    </w:p>
    <w:p>
      <w:pPr>
        <w:pStyle w:val="ListBullet"/>
        <w:spacing w:after="40"/>
      </w:pPr>
      <w:r>
        <w:rPr>
          <w:rFonts w:ascii="Liberation Sans" w:hAnsi="Liberation Sans"/>
        </w:rPr>
        <w:t>No arbitrary browser shell.</w:t>
      </w:r>
    </w:p>
    <w:p>
      <w:pPr>
        <w:pStyle w:val="ListBullet"/>
        <w:spacing w:after="40"/>
      </w:pPr>
      <w:r>
        <w:rPr>
          <w:rFonts w:ascii="Liberation Sans" w:hAnsi="Liberation Sans"/>
        </w:rPr>
        <w:t>No Kubernetes requirement.</w:t>
      </w:r>
    </w:p>
    <w:p>
      <w:pPr>
        <w:pStyle w:val="ListBullet"/>
        <w:spacing w:after="40"/>
      </w:pPr>
      <w:r>
        <w:rPr>
          <w:rFonts w:ascii="Liberation Sans" w:hAnsi="Liberation Sans"/>
        </w:rPr>
        <w:t>No full SIEM/log warehouse.</w:t>
      </w:r>
    </w:p>
    <w:p>
      <w:pPr>
        <w:pStyle w:val="ListBullet"/>
        <w:spacing w:after="40"/>
      </w:pPr>
      <w:r>
        <w:rPr>
          <w:rFonts w:ascii="Liberation Sans" w:hAnsi="Liberation Sans"/>
        </w:rPr>
        <w:t>No complex drag-and-drop workflow canvas.</w:t>
      </w:r>
    </w:p>
    <w:p>
      <w:pPr>
        <w:pStyle w:val="ListBullet"/>
        <w:spacing w:after="40"/>
      </w:pPr>
      <w:r>
        <w:rPr>
          <w:rFonts w:ascii="Liberation Sans" w:hAnsi="Liberation Sans"/>
        </w:rPr>
        <w:t>No mandatory cloud/SaaS dependency.</w:t>
      </w:r>
    </w:p>
    <w:p>
      <w:pPr>
        <w:pStyle w:val="ListBullet"/>
        <w:spacing w:after="40"/>
      </w:pPr>
      <w:r>
        <w:rPr>
          <w:rFonts w:ascii="Liberation Sans" w:hAnsi="Liberation Sans"/>
        </w:rPr>
        <w:t>No public exposure until authentication/security hardening is complete.</w:t>
      </w: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3. Approved platform architecture</w:t>
      </w:r>
    </w:p>
    <w:p>
      <w:pPr>
        <w:spacing w:after="40"/>
        <w:jc w:val="center"/>
      </w:pPr>
      <w:r>
        <w:drawing>
          <wp:inline xmlns:a="http://schemas.openxmlformats.org/drawingml/2006/main" xmlns:pic="http://schemas.openxmlformats.org/drawingml/2006/picture">
            <wp:extent cx="6172200" cy="4629150"/>
            <wp:docPr id="2" name="Picture 2"/>
            <wp:cNvGraphicFramePr>
              <a:graphicFrameLocks noChangeAspect="1"/>
            </wp:cNvGraphicFramePr>
            <a:graphic>
              <a:graphicData uri="http://schemas.openxmlformats.org/drawingml/2006/picture">
                <pic:pic>
                  <pic:nvPicPr>
                    <pic:cNvPr id="0" name="07-target-topology.png"/>
                    <pic:cNvPicPr/>
                  </pic:nvPicPr>
                  <pic:blipFill>
                    <a:blip r:embed="rId12"/>
                    <a:stretch>
                      <a:fillRect/>
                    </a:stretch>
                  </pic:blipFill>
                  <pic:spPr>
                    <a:xfrm>
                      <a:off x="0" y="0"/>
                      <a:ext cx="6172200" cy="4629150"/>
                    </a:xfrm>
                    <a:prstGeom prst="rect"/>
                  </pic:spPr>
                </pic:pic>
              </a:graphicData>
            </a:graphic>
          </wp:inline>
        </w:drawing>
      </w:r>
    </w:p>
    <w:p>
      <w:pPr>
        <w:pStyle w:val="OXCaption"/>
        <w:jc w:val="center"/>
      </w:pPr>
      <w:r>
        <w:t>Conceptual target topology. The final application will use the restrained production UI style rather than the presentation-style neon treatment.</w:t>
      </w:r>
    </w:p>
    <w:p>
      <w:pPr>
        <w:pStyle w:val="Heading2"/>
      </w:pPr>
      <w:r>
        <w:t>Control plane</w:t>
      </w:r>
    </w:p>
    <w:p>
      <w:r>
        <w:t>The central oxnet.work service is deliberately small. One Go process hosts the REST API, SSE updates, authentication/session handling, scheduler, integration polling, audit recording, SQLite access and the compiled web UI. This minimizes container count and reduces operational overhead.</w:t>
      </w:r>
    </w:p>
    <w:p>
      <w:pPr>
        <w:pStyle w:val="Heading2"/>
      </w:pPr>
      <w:r>
        <w:t>Node agents</w:t>
      </w:r>
    </w:p>
    <w:p>
      <w:r>
        <w:t>Optional Go agents run only on hosts where local metrics, Docker inventory or privileged actions are required. Agents communicate over the private network and expose typed capabilities rather than a generic shell. A node can still exist in the inventory without an agent if it is discovered through Tailscale or another provider.</w:t>
      </w:r>
    </w:p>
    <w:tbl>
      <w:tblPr>
        <w:tblW w:type="auto" w:w="0"/>
        <w:jc w:val="center"/>
        <w:tblLook w:firstColumn="1" w:firstRow="1" w:lastColumn="0" w:lastRow="0" w:noHBand="0" w:noVBand="1" w:val="04A0"/>
      </w:tblPr>
      <w:tblGrid>
        <w:gridCol w:w="10166"/>
      </w:tblGrid>
      <w:tr>
        <w:tc>
          <w:tcPr>
            <w:tcW w:type="dxa" w:w="10166"/>
            <w:shd w:fill="EAF8FF"/>
            <w:tcBorders>
              <w:top w:val="single" w:sz="10" w:color="19C8FF"/>
              <w:left w:val="single" w:sz="10" w:color="19C8FF"/>
              <w:bottom w:val="single" w:sz="10" w:color="19C8FF"/>
              <w:right w:val="single" w:sz="10" w:color="19C8FF"/>
            </w:tcBorders>
          </w:tcPr>
          <w:p>
            <w:pPr>
              <w:spacing w:after="40"/>
            </w:pPr>
            <w:r>
              <w:rPr>
                <w:b/>
                <w:color w:val="07111F"/>
                <w:sz w:val="21"/>
              </w:rPr>
              <w:t>Why this architecture</w:t>
            </w:r>
          </w:p>
          <w:p>
            <w:pPr>
              <w:spacing w:after="0"/>
            </w:pPr>
            <w:r>
              <w:rPr>
                <w:sz w:val="18"/>
              </w:rPr>
              <w:t>The aim is to create a genuine control plane without creating another large platform that itself needs substantial maintenance. Integration boundaries remain replaceable so the architecture can grow later without forcing v1 to carry enterprise infrastructure.</w:t>
            </w:r>
          </w:p>
        </w:tc>
      </w:tr>
    </w:tbl>
    <w:p>
      <w:pPr>
        <w:spacing w:after="0"/>
      </w:pP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4. Lightweight deployment model</w:t>
      </w:r>
    </w:p>
    <w:p>
      <w:pPr>
        <w:pStyle w:val="Heading2"/>
      </w:pPr>
      <w:r>
        <w:t>Default deployment</w:t>
      </w:r>
    </w:p>
    <w:tbl>
      <w:tblPr>
        <w:tblW w:type="auto" w:w="0"/>
        <w:jc w:val="center"/>
        <w:tblLayout w:type="fixed"/>
        <w:tblLook w:firstColumn="1" w:firstRow="1" w:lastColumn="0" w:lastRow="0" w:noHBand="0" w:noVBand="1" w:val="04A0"/>
      </w:tblPr>
      <w:tblGrid>
        <w:gridCol w:w="5083"/>
        <w:gridCol w:w="5083"/>
      </w:tblGrid>
      <w:tr>
        <w:tc>
          <w:tcPr>
            <w:tcW w:type="dxa" w:w="3024"/>
            <w:shd w:fill="07111F"/>
            <w:tcBorders>
              <w:top w:val="single" w:sz="6" w:color="07111F"/>
              <w:left w:val="single" w:sz="6" w:color="07111F"/>
              <w:bottom w:val="single" w:sz="6" w:color="07111F"/>
              <w:right w:val="single" w:sz="6" w:color="07111F"/>
            </w:tcBorders>
          </w:tcPr>
          <w:p>
            <w:r>
              <w:rPr>
                <w:b/>
                <w:color w:val="FFFFFF"/>
                <w:sz w:val="18"/>
              </w:rPr>
              <w:t>Area</w:t>
            </w:r>
          </w:p>
        </w:tc>
        <w:tc>
          <w:tcPr>
            <w:tcW w:type="dxa" w:w="6768"/>
            <w:shd w:fill="07111F"/>
            <w:tcBorders>
              <w:top w:val="single" w:sz="6" w:color="07111F"/>
              <w:left w:val="single" w:sz="6" w:color="07111F"/>
              <w:bottom w:val="single" w:sz="6" w:color="07111F"/>
              <w:right w:val="single" w:sz="6" w:color="07111F"/>
            </w:tcBorders>
          </w:tcPr>
          <w:p>
            <w:r>
              <w:rPr>
                <w:b/>
                <w:color w:val="FFFFFF"/>
                <w:sz w:val="18"/>
              </w:rPr>
              <w:t>Target</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Control plane</w:t>
            </w:r>
          </w:p>
        </w:tc>
        <w:tc>
          <w:tcPr>
            <w:tcW w:type="dxa" w:w="6768"/>
            <w:shd w:fill="F3F7FB"/>
            <w:tcBorders>
              <w:top w:val="single" w:sz="6" w:color="D8E2EC"/>
              <w:left w:val="single" w:sz="6" w:color="D8E2EC"/>
              <w:bottom w:val="single" w:sz="6" w:color="D8E2EC"/>
              <w:right w:val="single" w:sz="6" w:color="D8E2EC"/>
            </w:tcBorders>
            <w:vAlign w:val="center"/>
          </w:tcPr>
          <w:p>
            <w:r>
              <w:rPr>
                <w:sz w:val="17"/>
              </w:rPr>
              <w:t>1 container</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Persistent data</w:t>
            </w:r>
          </w:p>
        </w:tc>
        <w:tc>
          <w:tcPr>
            <w:tcW w:type="dxa" w:w="6768"/>
            <w:shd w:fill="FFFFFF"/>
            <w:tcBorders>
              <w:top w:val="single" w:sz="6" w:color="D8E2EC"/>
              <w:left w:val="single" w:sz="6" w:color="D8E2EC"/>
              <w:bottom w:val="single" w:sz="6" w:color="D8E2EC"/>
              <w:right w:val="single" w:sz="6" w:color="D8E2EC"/>
            </w:tcBorders>
            <w:vAlign w:val="center"/>
          </w:tcPr>
          <w:p>
            <w:r>
              <w:rPr>
                <w:sz w:val="17"/>
              </w:rPr>
              <w:t>1 volume containing SQLite and local app state</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External database</w:t>
            </w:r>
          </w:p>
        </w:tc>
        <w:tc>
          <w:tcPr>
            <w:tcW w:type="dxa" w:w="6768"/>
            <w:shd w:fill="F3F7FB"/>
            <w:tcBorders>
              <w:top w:val="single" w:sz="6" w:color="D8E2EC"/>
              <w:left w:val="single" w:sz="6" w:color="D8E2EC"/>
              <w:bottom w:val="single" w:sz="6" w:color="D8E2EC"/>
              <w:right w:val="single" w:sz="6" w:color="D8E2EC"/>
            </w:tcBorders>
            <w:vAlign w:val="center"/>
          </w:tcPr>
          <w:p>
            <w:r>
              <w:rPr>
                <w:sz w:val="17"/>
              </w:rPr>
              <w:t>Not required</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Message broker</w:t>
            </w:r>
          </w:p>
        </w:tc>
        <w:tc>
          <w:tcPr>
            <w:tcW w:type="dxa" w:w="6768"/>
            <w:shd w:fill="FFFFFF"/>
            <w:tcBorders>
              <w:top w:val="single" w:sz="6" w:color="D8E2EC"/>
              <w:left w:val="single" w:sz="6" w:color="D8E2EC"/>
              <w:bottom w:val="single" w:sz="6" w:color="D8E2EC"/>
              <w:right w:val="single" w:sz="6" w:color="D8E2EC"/>
            </w:tcBorders>
            <w:vAlign w:val="center"/>
          </w:tcPr>
          <w:p>
            <w:r>
              <w:rPr>
                <w:sz w:val="17"/>
              </w:rPr>
              <w:t>Not required</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Realtime transport</w:t>
            </w:r>
          </w:p>
        </w:tc>
        <w:tc>
          <w:tcPr>
            <w:tcW w:type="dxa" w:w="6768"/>
            <w:shd w:fill="F3F7FB"/>
            <w:tcBorders>
              <w:top w:val="single" w:sz="6" w:color="D8E2EC"/>
              <w:left w:val="single" w:sz="6" w:color="D8E2EC"/>
              <w:bottom w:val="single" w:sz="6" w:color="D8E2EC"/>
              <w:right w:val="single" w:sz="6" w:color="D8E2EC"/>
            </w:tcBorders>
            <w:vAlign w:val="center"/>
          </w:tcPr>
          <w:p>
            <w:r>
              <w:rPr>
                <w:sz w:val="17"/>
              </w:rPr>
              <w:t>SSE</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Docker access</w:t>
            </w:r>
          </w:p>
        </w:tc>
        <w:tc>
          <w:tcPr>
            <w:tcW w:type="dxa" w:w="6768"/>
            <w:shd w:fill="FFFFFF"/>
            <w:tcBorders>
              <w:top w:val="single" w:sz="6" w:color="D8E2EC"/>
              <w:left w:val="single" w:sz="6" w:color="D8E2EC"/>
              <w:bottom w:val="single" w:sz="6" w:color="D8E2EC"/>
              <w:right w:val="single" w:sz="6" w:color="D8E2EC"/>
            </w:tcBorders>
            <w:vAlign w:val="center"/>
          </w:tcPr>
          <w:p>
            <w:r>
              <w:rPr>
                <w:sz w:val="17"/>
              </w:rPr>
              <w:t>Via node agent - not by mounting Docker socket into the public control plane</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CPU at idle</w:t>
            </w:r>
          </w:p>
        </w:tc>
        <w:tc>
          <w:tcPr>
            <w:tcW w:type="dxa" w:w="6768"/>
            <w:shd w:fill="F3F7FB"/>
            <w:tcBorders>
              <w:top w:val="single" w:sz="6" w:color="D8E2EC"/>
              <w:left w:val="single" w:sz="6" w:color="D8E2EC"/>
              <w:bottom w:val="single" w:sz="6" w:color="D8E2EC"/>
              <w:right w:val="single" w:sz="6" w:color="D8E2EC"/>
            </w:tcBorders>
            <w:vAlign w:val="center"/>
          </w:tcPr>
          <w:p>
            <w:r>
              <w:rPr>
                <w:sz w:val="17"/>
              </w:rPr>
              <w:t>Target near-zero outside polling</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Control-plane memory</w:t>
            </w:r>
          </w:p>
        </w:tc>
        <w:tc>
          <w:tcPr>
            <w:tcW w:type="dxa" w:w="6768"/>
            <w:shd w:fill="FFFFFF"/>
            <w:tcBorders>
              <w:top w:val="single" w:sz="6" w:color="D8E2EC"/>
              <w:left w:val="single" w:sz="6" w:color="D8E2EC"/>
              <w:bottom w:val="single" w:sz="6" w:color="D8E2EC"/>
              <w:right w:val="single" w:sz="6" w:color="D8E2EC"/>
            </w:tcBorders>
            <w:vAlign w:val="center"/>
          </w:tcPr>
          <w:p>
            <w:r>
              <w:rPr>
                <w:sz w:val="17"/>
              </w:rPr>
              <w:t>Engineering target below roughly 150 MB idle</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Agent memory</w:t>
            </w:r>
          </w:p>
        </w:tc>
        <w:tc>
          <w:tcPr>
            <w:tcW w:type="dxa" w:w="6768"/>
            <w:shd w:fill="F3F7FB"/>
            <w:tcBorders>
              <w:top w:val="single" w:sz="6" w:color="D8E2EC"/>
              <w:left w:val="single" w:sz="6" w:color="D8E2EC"/>
              <w:bottom w:val="single" w:sz="6" w:color="D8E2EC"/>
              <w:right w:val="single" w:sz="6" w:color="D8E2EC"/>
            </w:tcBorders>
            <w:vAlign w:val="center"/>
          </w:tcPr>
          <w:p>
            <w:r>
              <w:rPr>
                <w:sz w:val="17"/>
              </w:rPr>
              <w:t>Engineering target below roughly 30 MB idle</w:t>
            </w:r>
          </w:p>
        </w:tc>
      </w:tr>
    </w:tbl>
    <w:p>
      <w:pPr>
        <w:spacing w:after="0"/>
      </w:pPr>
    </w:p>
    <w:p>
      <w:pPr>
        <w:pStyle w:val="Heading2"/>
      </w:pPr>
      <w:r>
        <w:t>Why Go + static frontend</w:t>
      </w:r>
    </w:p>
    <w:p>
      <w:r>
        <w:t>A Go server and small compiled React frontend give the project a rich UI while keeping the production runtime simple. The browser receives static assets; the server does not need a Node.js runtime in production. SQLite removes a database service and associated maintenance burden.</w:t>
      </w:r>
    </w:p>
    <w:tbl>
      <w:tblPr>
        <w:tblW w:type="auto" w:w="0"/>
        <w:jc w:val="center"/>
        <w:tblLook w:firstColumn="1" w:firstRow="1" w:lastColumn="0" w:lastRow="0" w:noHBand="0" w:noVBand="1" w:val="04A0"/>
      </w:tblPr>
      <w:tblGrid>
        <w:gridCol w:w="10166"/>
      </w:tblGrid>
      <w:tr>
        <w:tc>
          <w:tcPr>
            <w:tcW w:type="dxa" w:w="10166"/>
            <w:shd w:fill="FFF7E8"/>
            <w:tcBorders>
              <w:top w:val="single" w:sz="10" w:color="F3AE45"/>
              <w:left w:val="single" w:sz="10" w:color="F3AE45"/>
              <w:bottom w:val="single" w:sz="10" w:color="F3AE45"/>
              <w:right w:val="single" w:sz="10" w:color="F3AE45"/>
            </w:tcBorders>
          </w:tcPr>
          <w:p>
            <w:pPr>
              <w:spacing w:after="40"/>
            </w:pPr>
            <w:r>
              <w:rPr>
                <w:b/>
                <w:color w:val="07111F"/>
                <w:sz w:val="21"/>
              </w:rPr>
              <w:t>Resource targets are targets, not guarantees</w:t>
            </w:r>
          </w:p>
          <w:p>
            <w:pPr>
              <w:spacing w:after="0"/>
            </w:pPr>
            <w:r>
              <w:rPr>
                <w:sz w:val="18"/>
              </w:rPr>
              <w:t>Codex should measure these values during implementation. A dependency that materially increases idle footprint or browser bundle size should be justified in the decision log.</w:t>
            </w:r>
          </w:p>
        </w:tc>
      </w:tr>
    </w:tbl>
    <w:p>
      <w:pPr>
        <w:spacing w:after="0"/>
      </w:pP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5. Command Centre UI</w:t>
      </w:r>
    </w:p>
    <w:p>
      <w:r>
        <w:t>The approved interface is intentionally calmer than the earlier presentation artwork. The product should feel like mission-control capability with Linear/Vercel restraint: dark, information-dense, clean, responsive and buildable with normal web components.</w:t>
      </w:r>
    </w:p>
    <w:p>
      <w:pPr>
        <w:spacing w:after="40"/>
        <w:jc w:val="center"/>
      </w:pPr>
      <w:r>
        <w:drawing>
          <wp:inline xmlns:a="http://schemas.openxmlformats.org/drawingml/2006/main" xmlns:pic="http://schemas.openxmlformats.org/drawingml/2006/picture">
            <wp:extent cx="6172200" cy="3473708"/>
            <wp:docPr id="3" name="Picture 3"/>
            <wp:cNvGraphicFramePr>
              <a:graphicFrameLocks noChangeAspect="1"/>
            </wp:cNvGraphicFramePr>
            <a:graphic>
              <a:graphicData uri="http://schemas.openxmlformats.org/drawingml/2006/picture">
                <pic:pic>
                  <pic:nvPicPr>
                    <pic:cNvPr id="0" name="01-overview.png"/>
                    <pic:cNvPicPr/>
                  </pic:nvPicPr>
                  <pic:blipFill>
                    <a:blip r:embed="rId11"/>
                    <a:stretch>
                      <a:fillRect/>
                    </a:stretch>
                  </pic:blipFill>
                  <pic:spPr>
                    <a:xfrm>
                      <a:off x="0" y="0"/>
                      <a:ext cx="6172200" cy="3473708"/>
                    </a:xfrm>
                    <a:prstGeom prst="rect"/>
                  </pic:spPr>
                </pic:pic>
              </a:graphicData>
            </a:graphic>
          </wp:inline>
        </w:drawing>
      </w:r>
    </w:p>
    <w:p>
      <w:pPr>
        <w:pStyle w:val="OXCaption"/>
        <w:jc w:val="center"/>
      </w:pPr>
      <w:r>
        <w:t>Approved Overview direction: compact node health, compute pool, service state, recent activity and capability-aware actions.</w:t>
      </w: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5.1 Compute and node detail</w:t>
      </w:r>
    </w:p>
    <w:p>
      <w:pPr>
        <w:spacing w:after="40"/>
        <w:jc w:val="center"/>
      </w:pPr>
      <w:r>
        <w:drawing>
          <wp:inline xmlns:a="http://schemas.openxmlformats.org/drawingml/2006/main" xmlns:pic="http://schemas.openxmlformats.org/drawingml/2006/picture">
            <wp:extent cx="6172200" cy="3473708"/>
            <wp:docPr id="4" name="Picture 4"/>
            <wp:cNvGraphicFramePr>
              <a:graphicFrameLocks noChangeAspect="1"/>
            </wp:cNvGraphicFramePr>
            <a:graphic>
              <a:graphicData uri="http://schemas.openxmlformats.org/drawingml/2006/picture">
                <pic:pic>
                  <pic:nvPicPr>
                    <pic:cNvPr id="0" name="02-compute.png"/>
                    <pic:cNvPicPr/>
                  </pic:nvPicPr>
                  <pic:blipFill>
                    <a:blip r:embed="rId13"/>
                    <a:stretch>
                      <a:fillRect/>
                    </a:stretch>
                  </pic:blipFill>
                  <pic:spPr>
                    <a:xfrm>
                      <a:off x="0" y="0"/>
                      <a:ext cx="6172200" cy="3473708"/>
                    </a:xfrm>
                    <a:prstGeom prst="rect"/>
                  </pic:spPr>
                </pic:pic>
              </a:graphicData>
            </a:graphic>
          </wp:inline>
        </w:drawing>
      </w:r>
    </w:p>
    <w:p>
      <w:pPr>
        <w:pStyle w:val="OXCaption"/>
        <w:jc w:val="center"/>
      </w:pPr>
      <w:r>
        <w:t>Compute screen: capacity, workers, jobs and deterministic placement rules.</w:t>
      </w:r>
    </w:p>
    <w:p>
      <w:pPr>
        <w:spacing w:after="40"/>
        <w:jc w:val="center"/>
      </w:pPr>
      <w:r>
        <w:drawing>
          <wp:inline xmlns:a="http://schemas.openxmlformats.org/drawingml/2006/main" xmlns:pic="http://schemas.openxmlformats.org/drawingml/2006/picture">
            <wp:extent cx="6172200" cy="3473708"/>
            <wp:docPr id="5" name="Picture 5"/>
            <wp:cNvGraphicFramePr>
              <a:graphicFrameLocks noChangeAspect="1"/>
            </wp:cNvGraphicFramePr>
            <a:graphic>
              <a:graphicData uri="http://schemas.openxmlformats.org/drawingml/2006/picture">
                <pic:pic>
                  <pic:nvPicPr>
                    <pic:cNvPr id="0" name="03-node-detail.png"/>
                    <pic:cNvPicPr/>
                  </pic:nvPicPr>
                  <pic:blipFill>
                    <a:blip r:embed="rId14"/>
                    <a:stretch>
                      <a:fillRect/>
                    </a:stretch>
                  </pic:blipFill>
                  <pic:spPr>
                    <a:xfrm>
                      <a:off x="0" y="0"/>
                      <a:ext cx="6172200" cy="3473708"/>
                    </a:xfrm>
                    <a:prstGeom prst="rect"/>
                  </pic:spPr>
                </pic:pic>
              </a:graphicData>
            </a:graphic>
          </wp:inline>
        </w:drawing>
      </w:r>
    </w:p>
    <w:p>
      <w:pPr>
        <w:pStyle w:val="OXCaption"/>
        <w:jc w:val="center"/>
      </w:pPr>
      <w:r>
        <w:t>Node detail: identity, live metrics, containers, recent jobs, network state and bounded log preview.</w:t>
      </w: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5.2 Network and automations</w:t>
      </w:r>
    </w:p>
    <w:p>
      <w:pPr>
        <w:spacing w:after="40"/>
        <w:jc w:val="center"/>
      </w:pPr>
      <w:r>
        <w:drawing>
          <wp:inline xmlns:a="http://schemas.openxmlformats.org/drawingml/2006/main" xmlns:pic="http://schemas.openxmlformats.org/drawingml/2006/picture">
            <wp:extent cx="6172200" cy="3473708"/>
            <wp:docPr id="6" name="Picture 6"/>
            <wp:cNvGraphicFramePr>
              <a:graphicFrameLocks noChangeAspect="1"/>
            </wp:cNvGraphicFramePr>
            <a:graphic>
              <a:graphicData uri="http://schemas.openxmlformats.org/drawingml/2006/picture">
                <pic:pic>
                  <pic:nvPicPr>
                    <pic:cNvPr id="0" name="04-network.png"/>
                    <pic:cNvPicPr/>
                  </pic:nvPicPr>
                  <pic:blipFill>
                    <a:blip r:embed="rId15"/>
                    <a:stretch>
                      <a:fillRect/>
                    </a:stretch>
                  </pic:blipFill>
                  <pic:spPr>
                    <a:xfrm>
                      <a:off x="0" y="0"/>
                      <a:ext cx="6172200" cy="3473708"/>
                    </a:xfrm>
                    <a:prstGeom prst="rect"/>
                  </pic:spPr>
                </pic:pic>
              </a:graphicData>
            </a:graphic>
          </wp:inline>
        </w:drawing>
      </w:r>
    </w:p>
    <w:p>
      <w:pPr>
        <w:pStyle w:val="OXCaption"/>
        <w:jc w:val="center"/>
      </w:pPr>
      <w:r>
        <w:t>Network view: a simple SVG topology with a selected-node detail panel and a connection/route table.</w:t>
      </w:r>
    </w:p>
    <w:p>
      <w:pPr>
        <w:spacing w:after="40"/>
        <w:jc w:val="center"/>
      </w:pPr>
      <w:r>
        <w:drawing>
          <wp:inline xmlns:a="http://schemas.openxmlformats.org/drawingml/2006/main" xmlns:pic="http://schemas.openxmlformats.org/drawingml/2006/picture">
            <wp:extent cx="6172200" cy="3473708"/>
            <wp:docPr id="7" name="Picture 7"/>
            <wp:cNvGraphicFramePr>
              <a:graphicFrameLocks noChangeAspect="1"/>
            </wp:cNvGraphicFramePr>
            <a:graphic>
              <a:graphicData uri="http://schemas.openxmlformats.org/drawingml/2006/picture">
                <pic:pic>
                  <pic:nvPicPr>
                    <pic:cNvPr id="0" name="05-automations.png"/>
                    <pic:cNvPicPr/>
                  </pic:nvPicPr>
                  <pic:blipFill>
                    <a:blip r:embed="rId16"/>
                    <a:stretch>
                      <a:fillRect/>
                    </a:stretch>
                  </pic:blipFill>
                  <pic:spPr>
                    <a:xfrm>
                      <a:off x="0" y="0"/>
                      <a:ext cx="6172200" cy="3473708"/>
                    </a:xfrm>
                    <a:prstGeom prst="rect"/>
                  </pic:spPr>
                </pic:pic>
              </a:graphicData>
            </a:graphic>
          </wp:inline>
        </w:drawing>
      </w:r>
    </w:p>
    <w:p>
      <w:pPr>
        <w:pStyle w:val="OXCaption"/>
        <w:jc w:val="center"/>
      </w:pPr>
      <w:r>
        <w:t>Automations view: table-first workflow management with a lightweight linear step diagram.</w:t>
      </w: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6. Compute and OpenCode model</w:t>
      </w:r>
    </w:p>
    <w:p>
      <w:r>
        <w:t>oxnet.work should treat distributed compute as a pool while still respecting the limits of individual machines. Aggregate vCPU/RAM numbers are informational; a job can only run on a worker that actually satisfies its requirements.</w:t>
      </w:r>
    </w:p>
    <w:p>
      <w:pPr>
        <w:pStyle w:val="Heading2"/>
      </w:pPr>
      <w:r>
        <w:t>Placement process</w:t>
      </w:r>
    </w:p>
    <w:p>
      <w:pPr>
        <w:spacing w:after="80"/>
      </w:pPr>
      <w:r>
        <w:rPr>
          <w:b/>
          <w:color w:val="2F8FFF"/>
        </w:rPr>
        <w:t xml:space="preserve">1. </w:t>
      </w:r>
      <w:r>
        <w:t>Filter to online, fresh, non-drained workers.</w:t>
      </w:r>
    </w:p>
    <w:p>
      <w:pPr>
        <w:spacing w:after="80"/>
      </w:pPr>
      <w:r>
        <w:rPr>
          <w:b/>
          <w:color w:val="2F8FFF"/>
        </w:rPr>
        <w:t xml:space="preserve">2. </w:t>
      </w:r>
      <w:r>
        <w:t>Filter by capabilities, architecture, tags and GPU requirements.</w:t>
      </w:r>
    </w:p>
    <w:p>
      <w:pPr>
        <w:spacing w:after="80"/>
      </w:pPr>
      <w:r>
        <w:rPr>
          <w:b/>
          <w:color w:val="2F8FFF"/>
        </w:rPr>
        <w:t xml:space="preserve">3. </w:t>
      </w:r>
      <w:r>
        <w:t>Exclude workers that fail minimum free CPU/RAM/GPU thresholds.</w:t>
      </w:r>
    </w:p>
    <w:p>
      <w:pPr>
        <w:spacing w:after="80"/>
      </w:pPr>
      <w:r>
        <w:rPr>
          <w:b/>
          <w:color w:val="2F8FFF"/>
        </w:rPr>
        <w:t xml:space="preserve">4. </w:t>
      </w:r>
      <w:r>
        <w:t>Apply explicit affinity and exclusion rules.</w:t>
      </w:r>
    </w:p>
    <w:p>
      <w:pPr>
        <w:spacing w:after="80"/>
      </w:pPr>
      <w:r>
        <w:rPr>
          <w:b/>
          <w:color w:val="2F8FFF"/>
        </w:rPr>
        <w:t xml:space="preserve">5. </w:t>
      </w:r>
      <w:r>
        <w:t>Score the remaining workers using normalized free resources/load.</w:t>
      </w:r>
    </w:p>
    <w:p>
      <w:pPr>
        <w:spacing w:after="80"/>
      </w:pPr>
      <w:r>
        <w:rPr>
          <w:b/>
          <w:color w:val="2F8FFF"/>
        </w:rPr>
        <w:t xml:space="preserve">6. </w:t>
      </w:r>
      <w:r>
        <w:t>Choose deterministically and record why the worker was selected.</w:t>
      </w:r>
    </w:p>
    <w:tbl>
      <w:tblPr>
        <w:tblW w:type="auto" w:w="0"/>
        <w:jc w:val="center"/>
        <w:tblLook w:firstColumn="1" w:firstRow="1" w:lastColumn="0" w:lastRow="0" w:noHBand="0" w:noVBand="1" w:val="04A0"/>
      </w:tblPr>
      <w:tblGrid>
        <w:gridCol w:w="10166"/>
      </w:tblGrid>
      <w:tr>
        <w:tc>
          <w:tcPr>
            <w:tcW w:type="dxa" w:w="10166"/>
            <w:shd w:fill="EAF8FF"/>
            <w:tcBorders>
              <w:top w:val="single" w:sz="10" w:color="19C8FF"/>
              <w:left w:val="single" w:sz="10" w:color="19C8FF"/>
              <w:bottom w:val="single" w:sz="10" w:color="19C8FF"/>
              <w:right w:val="single" w:sz="10" w:color="19C8FF"/>
            </w:tcBorders>
          </w:tcPr>
          <w:p>
            <w:pPr>
              <w:spacing w:after="40"/>
            </w:pPr>
            <w:r>
              <w:rPr>
                <w:b/>
                <w:color w:val="07111F"/>
                <w:sz w:val="21"/>
              </w:rPr>
              <w:t>No AI required for placement</w:t>
            </w:r>
          </w:p>
          <w:p>
            <w:pPr>
              <w:spacing w:after="0"/>
            </w:pPr>
            <w:r>
              <w:rPr>
                <w:sz w:val="18"/>
              </w:rPr>
              <w:t>The v1 scheduler should be deterministic and explainable. AI-assisted decisions can be explored later, but the underlying rule-based placement must remain available and auditable.</w:t>
            </w:r>
          </w:p>
        </w:tc>
      </w:tr>
    </w:tbl>
    <w:p>
      <w:pPr>
        <w:spacing w:after="0"/>
      </w:pP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7. Network and access model</w:t>
      </w:r>
    </w:p>
    <w:p>
      <w:pPr>
        <w:pStyle w:val="Heading2"/>
      </w:pPr>
      <w:r>
        <w:t>Preferred access path</w:t>
      </w:r>
    </w:p>
    <w:p>
      <w:r>
        <w:t>Normal owner access should be through Tailscale/private connectivity. The control plane does not need to be internet-facing to be useful.</w:t>
      </w:r>
    </w:p>
    <w:p>
      <w:pPr>
        <w:pStyle w:val="Heading2"/>
      </w:pPr>
      <w:r>
        <w:t>Optional Pangolin path</w:t>
      </w:r>
    </w:p>
    <w:p>
      <w:r>
        <w:t>If the owner later wants oxnet.work reachable outside the tailnet without installing Tailscale on the client device, Pangolin can publish it. That should happen only after authentication, authorization, session hardening and access policy are complete.</w:t>
      </w:r>
    </w:p>
    <w:tbl>
      <w:tblPr>
        <w:tblW w:type="auto" w:w="0"/>
        <w:jc w:val="center"/>
        <w:tblLayout w:type="fixed"/>
        <w:tblLook w:firstColumn="1" w:firstRow="1" w:lastColumn="0" w:lastRow="0" w:noHBand="0" w:noVBand="1" w:val="04A0"/>
      </w:tblPr>
      <w:tblGrid>
        <w:gridCol w:w="5083"/>
        <w:gridCol w:w="5083"/>
      </w:tblGrid>
      <w:tr>
        <w:tc>
          <w:tcPr>
            <w:tcW w:type="dxa" w:w="3024"/>
            <w:shd w:fill="07111F"/>
            <w:tcBorders>
              <w:top w:val="single" w:sz="6" w:color="07111F"/>
              <w:left w:val="single" w:sz="6" w:color="07111F"/>
              <w:bottom w:val="single" w:sz="6" w:color="07111F"/>
              <w:right w:val="single" w:sz="6" w:color="07111F"/>
            </w:tcBorders>
          </w:tcPr>
          <w:p>
            <w:r>
              <w:rPr>
                <w:b/>
                <w:color w:val="FFFFFF"/>
                <w:sz w:val="18"/>
              </w:rPr>
              <w:t>Capability</w:t>
            </w:r>
          </w:p>
        </w:tc>
        <w:tc>
          <w:tcPr>
            <w:tcW w:type="dxa" w:w="6768"/>
            <w:shd w:fill="07111F"/>
            <w:tcBorders>
              <w:top w:val="single" w:sz="6" w:color="07111F"/>
              <w:left w:val="single" w:sz="6" w:color="07111F"/>
              <w:bottom w:val="single" w:sz="6" w:color="07111F"/>
              <w:right w:val="single" w:sz="6" w:color="07111F"/>
            </w:tcBorders>
          </w:tcPr>
          <w:p>
            <w:r>
              <w:rPr>
                <w:b/>
                <w:color w:val="FFFFFF"/>
                <w:sz w:val="18"/>
              </w:rPr>
              <w:t>Owner model</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Tailscale</w:t>
            </w:r>
          </w:p>
        </w:tc>
        <w:tc>
          <w:tcPr>
            <w:tcW w:type="dxa" w:w="6768"/>
            <w:shd w:fill="F3F7FB"/>
            <w:tcBorders>
              <w:top w:val="single" w:sz="6" w:color="D8E2EC"/>
              <w:left w:val="single" w:sz="6" w:color="D8E2EC"/>
              <w:bottom w:val="single" w:sz="6" w:color="D8E2EC"/>
              <w:right w:val="single" w:sz="6" w:color="D8E2EC"/>
            </w:tcBorders>
            <w:vAlign w:val="center"/>
          </w:tcPr>
          <w:p>
            <w:r>
              <w:rPr>
                <w:sz w:val="17"/>
              </w:rPr>
              <w:t>Private connectivity and node/tailnet discovery context.</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Pangolin</w:t>
            </w:r>
          </w:p>
        </w:tc>
        <w:tc>
          <w:tcPr>
            <w:tcW w:type="dxa" w:w="6768"/>
            <w:shd w:fill="FFFFFF"/>
            <w:tcBorders>
              <w:top w:val="single" w:sz="6" w:color="D8E2EC"/>
              <w:left w:val="single" w:sz="6" w:color="D8E2EC"/>
              <w:bottom w:val="single" w:sz="6" w:color="D8E2EC"/>
              <w:right w:val="single" w:sz="6" w:color="D8E2EC"/>
            </w:tcBorders>
            <w:vAlign w:val="center"/>
          </w:tcPr>
          <w:p>
            <w:r>
              <w:rPr>
                <w:sz w:val="17"/>
              </w:rPr>
              <w:t>Controlled external resource exposure and edge inventory.</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RDP</w:t>
            </w:r>
          </w:p>
        </w:tc>
        <w:tc>
          <w:tcPr>
            <w:tcW w:type="dxa" w:w="6768"/>
            <w:shd w:fill="F3F7FB"/>
            <w:tcBorders>
              <w:top w:val="single" w:sz="6" w:color="D8E2EC"/>
              <w:left w:val="single" w:sz="6" w:color="D8E2EC"/>
              <w:bottom w:val="single" w:sz="6" w:color="D8E2EC"/>
              <w:right w:val="single" w:sz="6" w:color="D8E2EC"/>
            </w:tcBorders>
            <w:vAlign w:val="center"/>
          </w:tcPr>
          <w:p>
            <w:r>
              <w:rPr>
                <w:sz w:val="17"/>
              </w:rPr>
              <w:t>Launch/copy connection workflow; credentials are not stored in plaintext by oxnet.work.</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SSH</w:t>
            </w:r>
          </w:p>
        </w:tc>
        <w:tc>
          <w:tcPr>
            <w:tcW w:type="dxa" w:w="6768"/>
            <w:shd w:fill="FFFFFF"/>
            <w:tcBorders>
              <w:top w:val="single" w:sz="6" w:color="D8E2EC"/>
              <w:left w:val="single" w:sz="6" w:color="D8E2EC"/>
              <w:bottom w:val="single" w:sz="6" w:color="D8E2EC"/>
              <w:right w:val="single" w:sz="6" w:color="D8E2EC"/>
            </w:tcBorders>
            <w:vAlign w:val="center"/>
          </w:tcPr>
          <w:p>
            <w:r>
              <w:rPr>
                <w:sz w:val="17"/>
              </w:rPr>
              <w:t>Copy/open connection details; no arbitrary browser shell in v1.</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Wake-on-LAN</w:t>
            </w:r>
          </w:p>
        </w:tc>
        <w:tc>
          <w:tcPr>
            <w:tcW w:type="dxa" w:w="6768"/>
            <w:shd w:fill="F3F7FB"/>
            <w:tcBorders>
              <w:top w:val="single" w:sz="6" w:color="D8E2EC"/>
              <w:left w:val="single" w:sz="6" w:color="D8E2EC"/>
              <w:bottom w:val="single" w:sz="6" w:color="D8E2EC"/>
              <w:right w:val="single" w:sz="6" w:color="D8E2EC"/>
            </w:tcBorders>
            <w:vAlign w:val="center"/>
          </w:tcPr>
          <w:p>
            <w:r>
              <w:rPr>
                <w:sz w:val="17"/>
              </w:rPr>
              <w:t>Executed by an appropriate LAN-side agent/proxy when the target is not reachable from the VPS broadcast domain.</w:t>
            </w:r>
          </w:p>
        </w:tc>
      </w:tr>
    </w:tbl>
    <w:p>
      <w:pPr>
        <w:spacing w:after="0"/>
      </w:pP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8. Automation model</w:t>
      </w:r>
    </w:p>
    <w:p>
      <w:r>
        <w:t>Automations are intended for infrastructure routines: backups, health sweeps, wake-on-demand, deployment steps, log rotation, synchronization and notifications. The design is ordered and explicit rather than a freeform flow-canvas.</w:t>
      </w:r>
    </w:p>
    <w:p>
      <w:pPr>
        <w:pStyle w:val="Heading2"/>
      </w:pPr>
      <w:r>
        <w:t>Supported v1 trigger types</w:t>
      </w:r>
    </w:p>
    <w:p>
      <w:pPr>
        <w:pStyle w:val="ListBullet"/>
        <w:spacing w:after="40"/>
      </w:pPr>
      <w:r>
        <w:rPr>
          <w:rFonts w:ascii="Liberation Sans" w:hAnsi="Liberation Sans"/>
        </w:rPr>
        <w:t>Manual trigger</w:t>
      </w:r>
    </w:p>
    <w:p>
      <w:pPr>
        <w:pStyle w:val="ListBullet"/>
        <w:spacing w:after="40"/>
      </w:pPr>
      <w:r>
        <w:rPr>
          <w:rFonts w:ascii="Liberation Sans" w:hAnsi="Liberation Sans"/>
        </w:rPr>
        <w:t>Cron/scheduled trigger</w:t>
      </w:r>
    </w:p>
    <w:p>
      <w:pPr>
        <w:pStyle w:val="ListBullet"/>
        <w:spacing w:after="40"/>
      </w:pPr>
      <w:r>
        <w:rPr>
          <w:rFonts w:ascii="Liberation Sans" w:hAnsi="Liberation Sans"/>
        </w:rPr>
        <w:t>Simple health/event condition trigger</w:t>
      </w:r>
    </w:p>
    <w:p>
      <w:pPr>
        <w:pStyle w:val="Heading2"/>
      </w:pPr>
      <w:r>
        <w:t>Step design</w:t>
      </w:r>
    </w:p>
    <w:p>
      <w:pPr>
        <w:pStyle w:val="ListBullet"/>
        <w:spacing w:after="40"/>
      </w:pPr>
      <w:r>
        <w:rPr>
          <w:rFonts w:ascii="Liberation Sans" w:hAnsi="Liberation Sans"/>
        </w:rPr>
        <w:t>Typed action step against a known target/provider</w:t>
      </w:r>
    </w:p>
    <w:p>
      <w:pPr>
        <w:pStyle w:val="ListBullet"/>
        <w:spacing w:after="40"/>
      </w:pPr>
      <w:r>
        <w:rPr>
          <w:rFonts w:ascii="Liberation Sans" w:hAnsi="Liberation Sans"/>
        </w:rPr>
        <w:t>Delay/wait where required</w:t>
      </w:r>
    </w:p>
    <w:p>
      <w:pPr>
        <w:pStyle w:val="ListBullet"/>
        <w:spacing w:after="40"/>
      </w:pPr>
      <w:r>
        <w:rPr>
          <w:rFonts w:ascii="Liberation Sans" w:hAnsi="Liberation Sans"/>
        </w:rPr>
        <w:t>Notification step</w:t>
      </w:r>
    </w:p>
    <w:p>
      <w:pPr>
        <w:pStyle w:val="ListBullet"/>
        <w:spacing w:after="40"/>
      </w:pPr>
      <w:r>
        <w:rPr>
          <w:rFonts w:ascii="Liberation Sans" w:hAnsi="Liberation Sans"/>
        </w:rPr>
        <w:t>Stop or continue-on-error policy</w:t>
      </w:r>
    </w:p>
    <w:p>
      <w:pPr>
        <w:pStyle w:val="ListBullet"/>
        <w:spacing w:after="40"/>
      </w:pPr>
      <w:r>
        <w:rPr>
          <w:rFonts w:ascii="Liberation Sans" w:hAnsi="Liberation Sans"/>
        </w:rPr>
        <w:t>Success/failure outcome and audit record</w:t>
      </w:r>
    </w:p>
    <w:tbl>
      <w:tblPr>
        <w:tblW w:type="auto" w:w="0"/>
        <w:jc w:val="center"/>
        <w:tblLook w:firstColumn="1" w:firstRow="1" w:lastColumn="0" w:lastRow="0" w:noHBand="0" w:noVBand="1" w:val="04A0"/>
      </w:tblPr>
      <w:tblGrid>
        <w:gridCol w:w="10166"/>
      </w:tblGrid>
      <w:tr>
        <w:tc>
          <w:tcPr>
            <w:tcW w:type="dxa" w:w="10166"/>
            <w:shd w:fill="EAF8FF"/>
            <w:tcBorders>
              <w:top w:val="single" w:sz="10" w:color="19C8FF"/>
              <w:left w:val="single" w:sz="10" w:color="19C8FF"/>
              <w:bottom w:val="single" w:sz="10" w:color="19C8FF"/>
              <w:right w:val="single" w:sz="10" w:color="19C8FF"/>
            </w:tcBorders>
          </w:tcPr>
          <w:p>
            <w:pPr>
              <w:spacing w:after="40"/>
            </w:pPr>
            <w:r>
              <w:rPr>
                <w:b/>
                <w:color w:val="07111F"/>
                <w:sz w:val="21"/>
              </w:rPr>
              <w:t>Key owner benefit</w:t>
            </w:r>
          </w:p>
          <w:p>
            <w:pPr>
              <w:spacing w:after="0"/>
            </w:pPr>
            <w:r>
              <w:rPr>
                <w:sz w:val="18"/>
              </w:rPr>
              <w:t>Routine infrastructure work becomes visible and repeatable. A workflow run produces a step-by-step history instead of disappearing into an untracked script or terminal session.</w:t>
            </w:r>
          </w:p>
        </w:tc>
      </w:tr>
    </w:tbl>
    <w:p>
      <w:pPr>
        <w:spacing w:after="0"/>
      </w:pP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9. Security and trust boundaries</w:t>
      </w:r>
    </w:p>
    <w:p>
      <w:r>
        <w:t>oxnet.work will eventually be able to perform privileged actions, so its security model must be stronger than a normal dashboard. The design intentionally avoids a general remote-command interface and keeps privileged capabilities close to the node through scoped agents.</w:t>
      </w:r>
    </w:p>
    <w:tbl>
      <w:tblPr>
        <w:tblW w:type="auto" w:w="0"/>
        <w:jc w:val="center"/>
        <w:tblLayout w:type="fixed"/>
        <w:tblLook w:firstColumn="1" w:firstRow="1" w:lastColumn="0" w:lastRow="0" w:noHBand="0" w:noVBand="1" w:val="04A0"/>
      </w:tblPr>
      <w:tblGrid>
        <w:gridCol w:w="5083"/>
        <w:gridCol w:w="5083"/>
      </w:tblGrid>
      <w:tr>
        <w:tc>
          <w:tcPr>
            <w:tcW w:type="dxa" w:w="3024"/>
            <w:shd w:fill="07111F"/>
            <w:tcBorders>
              <w:top w:val="single" w:sz="6" w:color="07111F"/>
              <w:left w:val="single" w:sz="6" w:color="07111F"/>
              <w:bottom w:val="single" w:sz="6" w:color="07111F"/>
              <w:right w:val="single" w:sz="6" w:color="07111F"/>
            </w:tcBorders>
          </w:tcPr>
          <w:p>
            <w:r>
              <w:rPr>
                <w:b/>
                <w:color w:val="FFFFFF"/>
                <w:sz w:val="18"/>
              </w:rPr>
              <w:t>Boundary</w:t>
            </w:r>
          </w:p>
        </w:tc>
        <w:tc>
          <w:tcPr>
            <w:tcW w:type="dxa" w:w="6768"/>
            <w:shd w:fill="07111F"/>
            <w:tcBorders>
              <w:top w:val="single" w:sz="6" w:color="07111F"/>
              <w:left w:val="single" w:sz="6" w:color="07111F"/>
              <w:bottom w:val="single" w:sz="6" w:color="07111F"/>
              <w:right w:val="single" w:sz="6" w:color="07111F"/>
            </w:tcBorders>
          </w:tcPr>
          <w:p>
            <w:r>
              <w:rPr>
                <w:b/>
                <w:color w:val="FFFFFF"/>
                <w:sz w:val="18"/>
              </w:rPr>
              <w:t>Required approach</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Authentication</w:t>
            </w:r>
          </w:p>
        </w:tc>
        <w:tc>
          <w:tcPr>
            <w:tcW w:type="dxa" w:w="6768"/>
            <w:shd w:fill="F3F7FB"/>
            <w:tcBorders>
              <w:top w:val="single" w:sz="6" w:color="D8E2EC"/>
              <w:left w:val="single" w:sz="6" w:color="D8E2EC"/>
              <w:bottom w:val="single" w:sz="6" w:color="D8E2EC"/>
              <w:right w:val="single" w:sz="6" w:color="D8E2EC"/>
            </w:tcBorders>
            <w:vAlign w:val="center"/>
          </w:tcPr>
          <w:p>
            <w:r>
              <w:rPr>
                <w:sz w:val="17"/>
              </w:rPr>
              <w:t>OIDC-ready; Authentik preferred, provider-neutral implementation.</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Browser session</w:t>
            </w:r>
          </w:p>
        </w:tc>
        <w:tc>
          <w:tcPr>
            <w:tcW w:type="dxa" w:w="6768"/>
            <w:shd w:fill="FFFFFF"/>
            <w:tcBorders>
              <w:top w:val="single" w:sz="6" w:color="D8E2EC"/>
              <w:left w:val="single" w:sz="6" w:color="D8E2EC"/>
              <w:bottom w:val="single" w:sz="6" w:color="D8E2EC"/>
              <w:right w:val="single" w:sz="6" w:color="D8E2EC"/>
            </w:tcBorders>
            <w:vAlign w:val="center"/>
          </w:tcPr>
          <w:p>
            <w:r>
              <w:rPr>
                <w:sz w:val="17"/>
              </w:rPr>
              <w:t>Secure HttpOnly SameSite cookies, expiry, rotation and CSRF protection.</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Authorization</w:t>
            </w:r>
          </w:p>
        </w:tc>
        <w:tc>
          <w:tcPr>
            <w:tcW w:type="dxa" w:w="6768"/>
            <w:shd w:fill="F3F7FB"/>
            <w:tcBorders>
              <w:top w:val="single" w:sz="6" w:color="D8E2EC"/>
              <w:left w:val="single" w:sz="6" w:color="D8E2EC"/>
              <w:bottom w:val="single" w:sz="6" w:color="D8E2EC"/>
              <w:right w:val="single" w:sz="6" w:color="D8E2EC"/>
            </w:tcBorders>
            <w:vAlign w:val="center"/>
          </w:tcPr>
          <w:p>
            <w:r>
              <w:rPr>
                <w:sz w:val="17"/>
              </w:rPr>
              <w:t>Permission scopes for read, safe actions, destructive actions, workflows, integrations and security.</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Secrets</w:t>
            </w:r>
          </w:p>
        </w:tc>
        <w:tc>
          <w:tcPr>
            <w:tcW w:type="dxa" w:w="6768"/>
            <w:shd w:fill="FFFFFF"/>
            <w:tcBorders>
              <w:top w:val="single" w:sz="6" w:color="D8E2EC"/>
              <w:left w:val="single" w:sz="6" w:color="D8E2EC"/>
              <w:bottom w:val="single" w:sz="6" w:color="D8E2EC"/>
              <w:right w:val="single" w:sz="6" w:color="D8E2EC"/>
            </w:tcBorders>
            <w:vAlign w:val="center"/>
          </w:tcPr>
          <w:p>
            <w:r>
              <w:rPr>
                <w:sz w:val="17"/>
              </w:rPr>
              <w:t>Environment/mounted secret references first; plaintext integration secrets must not live in ordinary SQLite fields.</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Agent trust</w:t>
            </w:r>
          </w:p>
        </w:tc>
        <w:tc>
          <w:tcPr>
            <w:tcW w:type="dxa" w:w="6768"/>
            <w:shd w:fill="F3F7FB"/>
            <w:tcBorders>
              <w:top w:val="single" w:sz="6" w:color="D8E2EC"/>
              <w:left w:val="single" w:sz="6" w:color="D8E2EC"/>
              <w:bottom w:val="single" w:sz="6" w:color="D8E2EC"/>
              <w:right w:val="single" w:sz="6" w:color="D8E2EC"/>
            </w:tcBorders>
            <w:vAlign w:val="center"/>
          </w:tcPr>
          <w:p>
            <w:r>
              <w:rPr>
                <w:sz w:val="17"/>
              </w:rPr>
              <w:t>Unique agent identity, scoped credentials, typed capabilities/actions and action IDs.</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Audit</w:t>
            </w:r>
          </w:p>
        </w:tc>
        <w:tc>
          <w:tcPr>
            <w:tcW w:type="dxa" w:w="6768"/>
            <w:shd w:fill="FFFFFF"/>
            <w:tcBorders>
              <w:top w:val="single" w:sz="6" w:color="D8E2EC"/>
              <w:left w:val="single" w:sz="6" w:color="D8E2EC"/>
              <w:bottom w:val="single" w:sz="6" w:color="D8E2EC"/>
              <w:right w:val="single" w:sz="6" w:color="D8E2EC"/>
            </w:tcBorders>
            <w:vAlign w:val="center"/>
          </w:tcPr>
          <w:p>
            <w:r>
              <w:rPr>
                <w:sz w:val="17"/>
              </w:rPr>
              <w:t>Append-only operational event trail containing actor, target, action and result.</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Logs</w:t>
            </w:r>
          </w:p>
        </w:tc>
        <w:tc>
          <w:tcPr>
            <w:tcW w:type="dxa" w:w="6768"/>
            <w:shd w:fill="F3F7FB"/>
            <w:tcBorders>
              <w:top w:val="single" w:sz="6" w:color="D8E2EC"/>
              <w:left w:val="single" w:sz="6" w:color="D8E2EC"/>
              <w:bottom w:val="single" w:sz="6" w:color="D8E2EC"/>
              <w:right w:val="single" w:sz="6" w:color="D8E2EC"/>
            </w:tcBorders>
            <w:vAlign w:val="center"/>
          </w:tcPr>
          <w:p>
            <w:r>
              <w:rPr>
                <w:sz w:val="17"/>
              </w:rPr>
              <w:t>Secrets, auth headers and environment dumps must be redacted/never logged.</w:t>
            </w:r>
          </w:p>
        </w:tc>
      </w:tr>
    </w:tbl>
    <w:p>
      <w:pPr>
        <w:spacing w:after="0"/>
      </w:pPr>
    </w:p>
    <w:p>
      <w:pPr>
        <w:pStyle w:val="Heading2"/>
      </w:pPr>
      <w:r>
        <w:t>High-impact action rule</w:t>
      </w:r>
    </w:p>
    <w:p>
      <w:r>
        <w:t>Restart, shutdown, destructive container changes, restore, or drain-with-active-work must show the target and impact, require explicit confirmation and create an audit record. The UI should never make destructive actions visually casual.</w:t>
      </w: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10. Integration plan</w:t>
      </w:r>
    </w:p>
    <w:p>
      <w:r>
        <w:t>Live integrations are deliberately phased. The UI and domain model must work first against deterministic fixtures so development is not blocked by access to every live system.</w:t>
      </w:r>
    </w:p>
    <w:tbl>
      <w:tblPr>
        <w:tblW w:type="auto" w:w="0"/>
        <w:jc w:val="center"/>
        <w:tblLayout w:type="fixed"/>
        <w:tblLook w:firstColumn="1" w:firstRow="1" w:lastColumn="0" w:lastRow="0" w:noHBand="0" w:noVBand="1" w:val="04A0"/>
      </w:tblPr>
      <w:tblGrid>
        <w:gridCol w:w="5083"/>
        <w:gridCol w:w="5083"/>
      </w:tblGrid>
      <w:tr>
        <w:tc>
          <w:tcPr>
            <w:tcW w:type="dxa" w:w="3024"/>
            <w:shd w:fill="07111F"/>
            <w:tcBorders>
              <w:top w:val="single" w:sz="6" w:color="07111F"/>
              <w:left w:val="single" w:sz="6" w:color="07111F"/>
              <w:bottom w:val="single" w:sz="6" w:color="07111F"/>
              <w:right w:val="single" w:sz="6" w:color="07111F"/>
            </w:tcBorders>
          </w:tcPr>
          <w:p>
            <w:r>
              <w:rPr>
                <w:b/>
                <w:color w:val="FFFFFF"/>
                <w:sz w:val="18"/>
              </w:rPr>
              <w:t>Order</w:t>
            </w:r>
          </w:p>
        </w:tc>
        <w:tc>
          <w:tcPr>
            <w:tcW w:type="dxa" w:w="6768"/>
            <w:shd w:fill="07111F"/>
            <w:tcBorders>
              <w:top w:val="single" w:sz="6" w:color="07111F"/>
              <w:left w:val="single" w:sz="6" w:color="07111F"/>
              <w:bottom w:val="single" w:sz="6" w:color="07111F"/>
              <w:right w:val="single" w:sz="6" w:color="07111F"/>
            </w:tcBorders>
          </w:tcPr>
          <w:p>
            <w:r>
              <w:rPr>
                <w:b/>
                <w:color w:val="FFFFFF"/>
                <w:sz w:val="18"/>
              </w:rPr>
              <w:t>Integration</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1</w:t>
            </w:r>
          </w:p>
        </w:tc>
        <w:tc>
          <w:tcPr>
            <w:tcW w:type="dxa" w:w="6768"/>
            <w:shd w:fill="F3F7FB"/>
            <w:tcBorders>
              <w:top w:val="single" w:sz="6" w:color="D8E2EC"/>
              <w:left w:val="single" w:sz="6" w:color="D8E2EC"/>
              <w:bottom w:val="single" w:sz="6" w:color="D8E2EC"/>
              <w:right w:val="single" w:sz="6" w:color="D8E2EC"/>
            </w:tcBorders>
            <w:vAlign w:val="center"/>
          </w:tcPr>
          <w:p>
            <w:r>
              <w:rPr>
                <w:sz w:val="17"/>
              </w:rPr>
              <w:t>Demo/fixture provider - proves UI and domain contracts.</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2</w:t>
            </w:r>
          </w:p>
        </w:tc>
        <w:tc>
          <w:tcPr>
            <w:tcW w:type="dxa" w:w="6768"/>
            <w:shd w:fill="FFFFFF"/>
            <w:tcBorders>
              <w:top w:val="single" w:sz="6" w:color="D8E2EC"/>
              <w:left w:val="single" w:sz="6" w:color="D8E2EC"/>
              <w:bottom w:val="single" w:sz="6" w:color="D8E2EC"/>
              <w:right w:val="single" w:sz="6" w:color="D8E2EC"/>
            </w:tcBorders>
            <w:vAlign w:val="center"/>
          </w:tcPr>
          <w:p>
            <w:r>
              <w:rPr>
                <w:sz w:val="17"/>
              </w:rPr>
              <w:t>Tailscale discovery - nodes, addresses, reachability context.</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3</w:t>
            </w:r>
          </w:p>
        </w:tc>
        <w:tc>
          <w:tcPr>
            <w:tcW w:type="dxa" w:w="6768"/>
            <w:shd w:fill="F3F7FB"/>
            <w:tcBorders>
              <w:top w:val="single" w:sz="6" w:color="D8E2EC"/>
              <w:left w:val="single" w:sz="6" w:color="D8E2EC"/>
              <w:bottom w:val="single" w:sz="6" w:color="D8E2EC"/>
              <w:right w:val="single" w:sz="6" w:color="D8E2EC"/>
            </w:tcBorders>
            <w:vAlign w:val="center"/>
          </w:tcPr>
          <w:p>
            <w:r>
              <w:rPr>
                <w:sz w:val="17"/>
              </w:rPr>
              <w:t>Docker read-only via agent - containers and state.</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4</w:t>
            </w:r>
          </w:p>
        </w:tc>
        <w:tc>
          <w:tcPr>
            <w:tcW w:type="dxa" w:w="6768"/>
            <w:shd w:fill="FFFFFF"/>
            <w:tcBorders>
              <w:top w:val="single" w:sz="6" w:color="D8E2EC"/>
              <w:left w:val="single" w:sz="6" w:color="D8E2EC"/>
              <w:bottom w:val="single" w:sz="6" w:color="D8E2EC"/>
              <w:right w:val="single" w:sz="6" w:color="D8E2EC"/>
            </w:tcBorders>
            <w:vAlign w:val="center"/>
          </w:tcPr>
          <w:p>
            <w:r>
              <w:rPr>
                <w:sz w:val="17"/>
              </w:rPr>
              <w:t>Host metrics - Beszel and/or direct agent metrics.</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5</w:t>
            </w:r>
          </w:p>
        </w:tc>
        <w:tc>
          <w:tcPr>
            <w:tcW w:type="dxa" w:w="6768"/>
            <w:shd w:fill="F3F7FB"/>
            <w:tcBorders>
              <w:top w:val="single" w:sz="6" w:color="D8E2EC"/>
              <w:left w:val="single" w:sz="6" w:color="D8E2EC"/>
              <w:bottom w:val="single" w:sz="6" w:color="D8E2EC"/>
              <w:right w:val="single" w:sz="6" w:color="D8E2EC"/>
            </w:tcBorders>
            <w:vAlign w:val="center"/>
          </w:tcPr>
          <w:p>
            <w:r>
              <w:rPr>
                <w:sz w:val="17"/>
              </w:rPr>
              <w:t>Uptime Kuma - operational service state where useful.</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6</w:t>
            </w:r>
          </w:p>
        </w:tc>
        <w:tc>
          <w:tcPr>
            <w:tcW w:type="dxa" w:w="6768"/>
            <w:shd w:fill="FFFFFF"/>
            <w:tcBorders>
              <w:top w:val="single" w:sz="6" w:color="D8E2EC"/>
              <w:left w:val="single" w:sz="6" w:color="D8E2EC"/>
              <w:bottom w:val="single" w:sz="6" w:color="D8E2EC"/>
              <w:right w:val="single" w:sz="6" w:color="D8E2EC"/>
            </w:tcBorders>
            <w:vAlign w:val="center"/>
          </w:tcPr>
          <w:p>
            <w:r>
              <w:rPr>
                <w:sz w:val="17"/>
              </w:rPr>
              <w:t>Pangolin - exposed-resource inventory and relationships.</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7</w:t>
            </w:r>
          </w:p>
        </w:tc>
        <w:tc>
          <w:tcPr>
            <w:tcW w:type="dxa" w:w="6768"/>
            <w:shd w:fill="F3F7FB"/>
            <w:tcBorders>
              <w:top w:val="single" w:sz="6" w:color="D8E2EC"/>
              <w:left w:val="single" w:sz="6" w:color="D8E2EC"/>
              <w:bottom w:val="single" w:sz="6" w:color="D8E2EC"/>
              <w:right w:val="single" w:sz="6" w:color="D8E2EC"/>
            </w:tcBorders>
            <w:vAlign w:val="center"/>
          </w:tcPr>
          <w:p>
            <w:r>
              <w:rPr>
                <w:sz w:val="17"/>
              </w:rPr>
              <w:t>OpenCode - workers and jobs.</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8</w:t>
            </w:r>
          </w:p>
        </w:tc>
        <w:tc>
          <w:tcPr>
            <w:tcW w:type="dxa" w:w="6768"/>
            <w:shd w:fill="FFFFFF"/>
            <w:tcBorders>
              <w:top w:val="single" w:sz="6" w:color="D8E2EC"/>
              <w:left w:val="single" w:sz="6" w:color="D8E2EC"/>
              <w:bottom w:val="single" w:sz="6" w:color="D8E2EC"/>
              <w:right w:val="single" w:sz="6" w:color="D8E2EC"/>
            </w:tcBorders>
            <w:vAlign w:val="center"/>
          </w:tcPr>
          <w:p>
            <w:r>
              <w:rPr>
                <w:sz w:val="17"/>
              </w:rPr>
              <w:t>Wake/node actions and backups - typed, auditable actions.</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9</w:t>
            </w:r>
          </w:p>
        </w:tc>
        <w:tc>
          <w:tcPr>
            <w:tcW w:type="dxa" w:w="6768"/>
            <w:shd w:fill="F3F7FB"/>
            <w:tcBorders>
              <w:top w:val="single" w:sz="6" w:color="D8E2EC"/>
              <w:left w:val="single" w:sz="6" w:color="D8E2EC"/>
              <w:bottom w:val="single" w:sz="6" w:color="D8E2EC"/>
              <w:right w:val="single" w:sz="6" w:color="D8E2EC"/>
            </w:tcBorders>
            <w:vAlign w:val="center"/>
          </w:tcPr>
          <w:p>
            <w:r>
              <w:rPr>
                <w:sz w:val="17"/>
              </w:rPr>
              <w:t>Authentik/OIDC - hardened authentication.</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10</w:t>
            </w:r>
          </w:p>
        </w:tc>
        <w:tc>
          <w:tcPr>
            <w:tcW w:type="dxa" w:w="6768"/>
            <w:shd w:fill="FFFFFF"/>
            <w:tcBorders>
              <w:top w:val="single" w:sz="6" w:color="D8E2EC"/>
              <w:left w:val="single" w:sz="6" w:color="D8E2EC"/>
              <w:bottom w:val="single" w:sz="6" w:color="D8E2EC"/>
              <w:right w:val="single" w:sz="6" w:color="D8E2EC"/>
            </w:tcBorders>
            <w:vAlign w:val="center"/>
          </w:tcPr>
          <w:p>
            <w:r>
              <w:rPr>
                <w:sz w:val="17"/>
              </w:rPr>
              <w:t>Optional Grafana/Prometheus deep links/query adapters.</w:t>
            </w:r>
          </w:p>
        </w:tc>
      </w:tr>
    </w:tbl>
    <w:p>
      <w:pPr>
        <w:spacing w:after="0"/>
      </w:pPr>
    </w:p>
    <w:tbl>
      <w:tblPr>
        <w:tblW w:type="auto" w:w="0"/>
        <w:jc w:val="center"/>
        <w:tblLook w:firstColumn="1" w:firstRow="1" w:lastColumn="0" w:lastRow="0" w:noHBand="0" w:noVBand="1" w:val="04A0"/>
      </w:tblPr>
      <w:tblGrid>
        <w:gridCol w:w="10166"/>
      </w:tblGrid>
      <w:tr>
        <w:tc>
          <w:tcPr>
            <w:tcW w:type="dxa" w:w="10166"/>
            <w:shd w:fill="F3F8FC"/>
            <w:tcBorders>
              <w:top w:val="single" w:sz="10" w:color="A8C7DD"/>
              <w:left w:val="single" w:sz="10" w:color="A8C7DD"/>
              <w:bottom w:val="single" w:sz="10" w:color="A8C7DD"/>
              <w:right w:val="single" w:sz="10" w:color="A8C7DD"/>
            </w:tcBorders>
          </w:tcPr>
          <w:p>
            <w:pPr>
              <w:spacing w:after="40"/>
            </w:pPr>
            <w:r>
              <w:rPr>
                <w:b/>
                <w:color w:val="07111F"/>
                <w:sz w:val="21"/>
              </w:rPr>
              <w:t>Graceful degradation</w:t>
            </w:r>
          </w:p>
          <w:p>
            <w:pPr>
              <w:spacing w:after="0"/>
            </w:pPr>
            <w:r>
              <w:rPr>
                <w:sz w:val="18"/>
              </w:rPr>
              <w:t>A broken or unavailable integration must not take down the rest of the interface. oxnet.work should preserve last-known state, show freshness, and make the failure obvious.</w:t>
            </w:r>
          </w:p>
        </w:tc>
      </w:tr>
    </w:tbl>
    <w:p>
      <w:pPr>
        <w:spacing w:after="0"/>
      </w:pP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11. Build roadmap</w:t>
      </w:r>
    </w:p>
    <w:p>
      <w:pPr>
        <w:spacing w:after="40"/>
        <w:jc w:val="center"/>
      </w:pPr>
      <w:r>
        <w:drawing>
          <wp:inline xmlns:a="http://schemas.openxmlformats.org/drawingml/2006/main" xmlns:pic="http://schemas.openxmlformats.org/drawingml/2006/picture">
            <wp:extent cx="6172200" cy="3473708"/>
            <wp:docPr id="8" name="Picture 8"/>
            <wp:cNvGraphicFramePr>
              <a:graphicFrameLocks noChangeAspect="1"/>
            </wp:cNvGraphicFramePr>
            <a:graphic>
              <a:graphicData uri="http://schemas.openxmlformats.org/drawingml/2006/picture">
                <pic:pic>
                  <pic:nvPicPr>
                    <pic:cNvPr id="0" name="08-roadmap.png"/>
                    <pic:cNvPicPr/>
                  </pic:nvPicPr>
                  <pic:blipFill>
                    <a:blip r:embed="rId17"/>
                    <a:stretch>
                      <a:fillRect/>
                    </a:stretch>
                  </pic:blipFill>
                  <pic:spPr>
                    <a:xfrm>
                      <a:off x="0" y="0"/>
                      <a:ext cx="6172200" cy="3473708"/>
                    </a:xfrm>
                    <a:prstGeom prst="rect"/>
                  </pic:spPr>
                </pic:pic>
              </a:graphicData>
            </a:graphic>
          </wp:inline>
        </w:drawing>
      </w:r>
    </w:p>
    <w:p>
      <w:pPr>
        <w:pStyle w:val="OXCaption"/>
        <w:jc w:val="center"/>
      </w:pPr>
      <w:r>
        <w:t>Visual roadmap concept. The implementation roadmap below is the authoritative build order.</w:t>
      </w:r>
    </w:p>
    <w:tbl>
      <w:tblPr>
        <w:tblW w:type="auto" w:w="0"/>
        <w:jc w:val="center"/>
        <w:tblLayout w:type="fixed"/>
        <w:tblLook w:firstColumn="1" w:firstRow="1" w:lastColumn="0" w:lastRow="0" w:noHBand="0" w:noVBand="1" w:val="04A0"/>
      </w:tblPr>
      <w:tblGrid>
        <w:gridCol w:w="5083"/>
        <w:gridCol w:w="5083"/>
      </w:tblGrid>
      <w:tr>
        <w:tc>
          <w:tcPr>
            <w:tcW w:type="dxa" w:w="3024"/>
            <w:shd w:fill="07111F"/>
            <w:tcBorders>
              <w:top w:val="single" w:sz="6" w:color="07111F"/>
              <w:left w:val="single" w:sz="6" w:color="07111F"/>
              <w:bottom w:val="single" w:sz="6" w:color="07111F"/>
              <w:right w:val="single" w:sz="6" w:color="07111F"/>
            </w:tcBorders>
          </w:tcPr>
          <w:p>
            <w:r>
              <w:rPr>
                <w:b/>
                <w:color w:val="FFFFFF"/>
                <w:sz w:val="18"/>
              </w:rPr>
              <w:t>Milestone</w:t>
            </w:r>
          </w:p>
        </w:tc>
        <w:tc>
          <w:tcPr>
            <w:tcW w:type="dxa" w:w="6768"/>
            <w:shd w:fill="07111F"/>
            <w:tcBorders>
              <w:top w:val="single" w:sz="6" w:color="07111F"/>
              <w:left w:val="single" w:sz="6" w:color="07111F"/>
              <w:bottom w:val="single" w:sz="6" w:color="07111F"/>
              <w:right w:val="single" w:sz="6" w:color="07111F"/>
            </w:tcBorders>
          </w:tcPr>
          <w:p>
            <w:r>
              <w:rPr>
                <w:b/>
                <w:color w:val="FFFFFF"/>
                <w:sz w:val="18"/>
              </w:rPr>
              <w:t>Outcome</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M0</w:t>
            </w:r>
          </w:p>
        </w:tc>
        <w:tc>
          <w:tcPr>
            <w:tcW w:type="dxa" w:w="6768"/>
            <w:shd w:fill="F3F7FB"/>
            <w:tcBorders>
              <w:top w:val="single" w:sz="6" w:color="D8E2EC"/>
              <w:left w:val="single" w:sz="6" w:color="D8E2EC"/>
              <w:bottom w:val="single" w:sz="6" w:color="D8E2EC"/>
              <w:right w:val="single" w:sz="6" w:color="D8E2EC"/>
            </w:tcBorders>
            <w:vAlign w:val="center"/>
          </w:tcPr>
          <w:p>
            <w:r>
              <w:rPr>
                <w:sz w:val="17"/>
              </w:rPr>
              <w:t>Repository, Go/Vite shell, SQLite, config, Docker, CI.</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M1</w:t>
            </w:r>
          </w:p>
        </w:tc>
        <w:tc>
          <w:tcPr>
            <w:tcW w:type="dxa" w:w="6768"/>
            <w:shd w:fill="FFFFFF"/>
            <w:tcBorders>
              <w:top w:val="single" w:sz="6" w:color="D8E2EC"/>
              <w:left w:val="single" w:sz="6" w:color="D8E2EC"/>
              <w:bottom w:val="single" w:sz="6" w:color="D8E2EC"/>
              <w:right w:val="single" w:sz="6" w:color="D8E2EC"/>
            </w:tcBorders>
            <w:vAlign w:val="center"/>
          </w:tcPr>
          <w:p>
            <w:r>
              <w:rPr>
                <w:sz w:val="17"/>
              </w:rPr>
              <w:t>Demo vertical slice and Overview.</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M2</w:t>
            </w:r>
          </w:p>
        </w:tc>
        <w:tc>
          <w:tcPr>
            <w:tcW w:type="dxa" w:w="6768"/>
            <w:shd w:fill="F3F7FB"/>
            <w:tcBorders>
              <w:top w:val="single" w:sz="6" w:color="D8E2EC"/>
              <w:left w:val="single" w:sz="6" w:color="D8E2EC"/>
              <w:bottom w:val="single" w:sz="6" w:color="D8E2EC"/>
              <w:right w:val="single" w:sz="6" w:color="D8E2EC"/>
            </w:tcBorders>
            <w:vAlign w:val="center"/>
          </w:tcPr>
          <w:p>
            <w:r>
              <w:rPr>
                <w:sz w:val="17"/>
              </w:rPr>
              <w:t>Compute and Node Detail.</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M3</w:t>
            </w:r>
          </w:p>
        </w:tc>
        <w:tc>
          <w:tcPr>
            <w:tcW w:type="dxa" w:w="6768"/>
            <w:shd w:fill="FFFFFF"/>
            <w:tcBorders>
              <w:top w:val="single" w:sz="6" w:color="D8E2EC"/>
              <w:left w:val="single" w:sz="6" w:color="D8E2EC"/>
              <w:bottom w:val="single" w:sz="6" w:color="D8E2EC"/>
              <w:right w:val="single" w:sz="6" w:color="D8E2EC"/>
            </w:tcBorders>
            <w:vAlign w:val="center"/>
          </w:tcPr>
          <w:p>
            <w:r>
              <w:rPr>
                <w:sz w:val="17"/>
              </w:rPr>
              <w:t>Network topology.</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M4</w:t>
            </w:r>
          </w:p>
        </w:tc>
        <w:tc>
          <w:tcPr>
            <w:tcW w:type="dxa" w:w="6768"/>
            <w:shd w:fill="F3F7FB"/>
            <w:tcBorders>
              <w:top w:val="single" w:sz="6" w:color="D8E2EC"/>
              <w:left w:val="single" w:sz="6" w:color="D8E2EC"/>
              <w:bottom w:val="single" w:sz="6" w:color="D8E2EC"/>
              <w:right w:val="single" w:sz="6" w:color="D8E2EC"/>
            </w:tcBorders>
            <w:vAlign w:val="center"/>
          </w:tcPr>
          <w:p>
            <w:r>
              <w:rPr>
                <w:sz w:val="17"/>
              </w:rPr>
              <w:t>Automations and audit.</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M5</w:t>
            </w:r>
          </w:p>
        </w:tc>
        <w:tc>
          <w:tcPr>
            <w:tcW w:type="dxa" w:w="6768"/>
            <w:shd w:fill="FFFFFF"/>
            <w:tcBorders>
              <w:top w:val="single" w:sz="6" w:color="D8E2EC"/>
              <w:left w:val="single" w:sz="6" w:color="D8E2EC"/>
              <w:bottom w:val="single" w:sz="6" w:color="D8E2EC"/>
              <w:right w:val="single" w:sz="6" w:color="D8E2EC"/>
            </w:tcBorders>
            <w:vAlign w:val="center"/>
          </w:tcPr>
          <w:p>
            <w:r>
              <w:rPr>
                <w:sz w:val="17"/>
              </w:rPr>
              <w:t>Node agent foundation.</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M6</w:t>
            </w:r>
          </w:p>
        </w:tc>
        <w:tc>
          <w:tcPr>
            <w:tcW w:type="dxa" w:w="6768"/>
            <w:shd w:fill="F3F7FB"/>
            <w:tcBorders>
              <w:top w:val="single" w:sz="6" w:color="D8E2EC"/>
              <w:left w:val="single" w:sz="6" w:color="D8E2EC"/>
              <w:bottom w:val="single" w:sz="6" w:color="D8E2EC"/>
              <w:right w:val="single" w:sz="6" w:color="D8E2EC"/>
            </w:tcBorders>
            <w:vAlign w:val="center"/>
          </w:tcPr>
          <w:p>
            <w:r>
              <w:rPr>
                <w:sz w:val="17"/>
              </w:rPr>
              <w:t>Tailscale + Docker read-only.</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M7</w:t>
            </w:r>
          </w:p>
        </w:tc>
        <w:tc>
          <w:tcPr>
            <w:tcW w:type="dxa" w:w="6768"/>
            <w:shd w:fill="FFFFFF"/>
            <w:tcBorders>
              <w:top w:val="single" w:sz="6" w:color="D8E2EC"/>
              <w:left w:val="single" w:sz="6" w:color="D8E2EC"/>
              <w:bottom w:val="single" w:sz="6" w:color="D8E2EC"/>
              <w:right w:val="single" w:sz="6" w:color="D8E2EC"/>
            </w:tcBorders>
            <w:vAlign w:val="center"/>
          </w:tcPr>
          <w:p>
            <w:r>
              <w:rPr>
                <w:sz w:val="17"/>
              </w:rPr>
              <w:t>Pangolin exposure inventory.</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M8</w:t>
            </w:r>
          </w:p>
        </w:tc>
        <w:tc>
          <w:tcPr>
            <w:tcW w:type="dxa" w:w="6768"/>
            <w:shd w:fill="F3F7FB"/>
            <w:tcBorders>
              <w:top w:val="single" w:sz="6" w:color="D8E2EC"/>
              <w:left w:val="single" w:sz="6" w:color="D8E2EC"/>
              <w:bottom w:val="single" w:sz="6" w:color="D8E2EC"/>
              <w:right w:val="single" w:sz="6" w:color="D8E2EC"/>
            </w:tcBorders>
            <w:vAlign w:val="center"/>
          </w:tcPr>
          <w:p>
            <w:r>
              <w:rPr>
                <w:sz w:val="17"/>
              </w:rPr>
              <w:t>OpenCode live compute.</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M9</w:t>
            </w:r>
          </w:p>
        </w:tc>
        <w:tc>
          <w:tcPr>
            <w:tcW w:type="dxa" w:w="6768"/>
            <w:shd w:fill="FFFFFF"/>
            <w:tcBorders>
              <w:top w:val="single" w:sz="6" w:color="D8E2EC"/>
              <w:left w:val="single" w:sz="6" w:color="D8E2EC"/>
              <w:bottom w:val="single" w:sz="6" w:color="D8E2EC"/>
              <w:right w:val="single" w:sz="6" w:color="D8E2EC"/>
            </w:tcBorders>
            <w:vAlign w:val="center"/>
          </w:tcPr>
          <w:p>
            <w:r>
              <w:rPr>
                <w:sz w:val="17"/>
              </w:rPr>
              <w:t>Safe actions.</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M10</w:t>
            </w:r>
          </w:p>
        </w:tc>
        <w:tc>
          <w:tcPr>
            <w:tcW w:type="dxa" w:w="6768"/>
            <w:shd w:fill="F3F7FB"/>
            <w:tcBorders>
              <w:top w:val="single" w:sz="6" w:color="D8E2EC"/>
              <w:left w:val="single" w:sz="6" w:color="D8E2EC"/>
              <w:bottom w:val="single" w:sz="6" w:color="D8E2EC"/>
              <w:right w:val="single" w:sz="6" w:color="D8E2EC"/>
            </w:tcBorders>
            <w:vAlign w:val="center"/>
          </w:tcPr>
          <w:p>
            <w:r>
              <w:rPr>
                <w:sz w:val="17"/>
              </w:rPr>
              <w:t>OIDC/security hardening.</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M11</w:t>
            </w:r>
          </w:p>
        </w:tc>
        <w:tc>
          <w:tcPr>
            <w:tcW w:type="dxa" w:w="6768"/>
            <w:shd w:fill="FFFFFF"/>
            <w:tcBorders>
              <w:top w:val="single" w:sz="6" w:color="D8E2EC"/>
              <w:left w:val="single" w:sz="6" w:color="D8E2EC"/>
              <w:bottom w:val="single" w:sz="6" w:color="D8E2EC"/>
              <w:right w:val="single" w:sz="6" w:color="D8E2EC"/>
            </w:tcBorders>
            <w:vAlign w:val="center"/>
          </w:tcPr>
          <w:p>
            <w:r>
              <w:rPr>
                <w:sz w:val="17"/>
              </w:rPr>
              <w:t>Backup/restore, polish and owner release.</w:t>
            </w:r>
          </w:p>
        </w:tc>
      </w:tr>
    </w:tbl>
    <w:p>
      <w:pPr>
        <w:spacing w:after="0"/>
      </w:pP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12. Owner operations and recovery</w:t>
      </w:r>
    </w:p>
    <w:p>
      <w:pPr>
        <w:pStyle w:val="Heading2"/>
      </w:pPr>
      <w:r>
        <w:t>Routine checks</w:t>
      </w:r>
    </w:p>
    <w:p>
      <w:pPr>
        <w:pStyle w:val="ListBullet"/>
        <w:spacing w:after="40"/>
      </w:pPr>
      <w:r>
        <w:rPr>
          <w:rFonts w:ascii="Liberation Sans" w:hAnsi="Liberation Sans"/>
        </w:rPr>
        <w:t>Global health and stale/offline nodes.</w:t>
      </w:r>
    </w:p>
    <w:p>
      <w:pPr>
        <w:pStyle w:val="ListBullet"/>
        <w:spacing w:after="40"/>
      </w:pPr>
      <w:r>
        <w:rPr>
          <w:rFonts w:ascii="Liberation Sans" w:hAnsi="Liberation Sans"/>
        </w:rPr>
        <w:t>Failed services or workflows.</w:t>
      </w:r>
    </w:p>
    <w:p>
      <w:pPr>
        <w:pStyle w:val="ListBullet"/>
        <w:spacing w:after="40"/>
      </w:pPr>
      <w:r>
        <w:rPr>
          <w:rFonts w:ascii="Liberation Sans" w:hAnsi="Liberation Sans"/>
        </w:rPr>
        <w:t>Available compute and active/queued jobs.</w:t>
      </w:r>
    </w:p>
    <w:p>
      <w:pPr>
        <w:pStyle w:val="ListBullet"/>
        <w:spacing w:after="40"/>
      </w:pPr>
      <w:r>
        <w:rPr>
          <w:rFonts w:ascii="Liberation Sans" w:hAnsi="Liberation Sans"/>
        </w:rPr>
        <w:t>Recent changes/actions.</w:t>
      </w:r>
    </w:p>
    <w:p>
      <w:pPr>
        <w:pStyle w:val="ListBullet"/>
        <w:spacing w:after="40"/>
      </w:pPr>
      <w:r>
        <w:rPr>
          <w:rFonts w:ascii="Liberation Sans" w:hAnsi="Liberation Sans"/>
        </w:rPr>
        <w:t>Backup freshness and last successful run.</w:t>
      </w:r>
    </w:p>
    <w:p>
      <w:pPr>
        <w:pStyle w:val="Heading2"/>
      </w:pPr>
      <w:r>
        <w:t>Maintenance pattern</w:t>
      </w:r>
    </w:p>
    <w:p>
      <w:pPr>
        <w:pStyle w:val="ListBullet"/>
        <w:spacing w:after="40"/>
      </w:pPr>
      <w:r>
        <w:rPr>
          <w:rFonts w:ascii="Liberation Sans" w:hAnsi="Liberation Sans"/>
        </w:rPr>
        <w:t>Drain a compute node before maintenance.</w:t>
      </w:r>
    </w:p>
    <w:p>
      <w:pPr>
        <w:pStyle w:val="ListBullet"/>
        <w:spacing w:after="40"/>
      </w:pPr>
      <w:r>
        <w:rPr>
          <w:rFonts w:ascii="Liberation Sans" w:hAnsi="Liberation Sans"/>
        </w:rPr>
        <w:t>Confirm active jobs are complete or intentionally handled.</w:t>
      </w:r>
    </w:p>
    <w:p>
      <w:pPr>
        <w:pStyle w:val="ListBullet"/>
        <w:spacing w:after="40"/>
      </w:pPr>
      <w:r>
        <w:rPr>
          <w:rFonts w:ascii="Liberation Sans" w:hAnsi="Liberation Sans"/>
        </w:rPr>
        <w:t>Run the maintenance action.</w:t>
      </w:r>
    </w:p>
    <w:p>
      <w:pPr>
        <w:pStyle w:val="ListBullet"/>
        <w:spacing w:after="40"/>
      </w:pPr>
      <w:r>
        <w:rPr>
          <w:rFonts w:ascii="Liberation Sans" w:hAnsi="Liberation Sans"/>
        </w:rPr>
        <w:t>Verify the node returns healthy and becomes schedulable.</w:t>
      </w:r>
    </w:p>
    <w:p>
      <w:pPr>
        <w:pStyle w:val="ListBullet"/>
        <w:spacing w:after="40"/>
      </w:pPr>
      <w:r>
        <w:rPr>
          <w:rFonts w:ascii="Liberation Sans" w:hAnsi="Liberation Sans"/>
        </w:rPr>
        <w:t>Review the audit/activity event.</w:t>
      </w:r>
    </w:p>
    <w:p>
      <w:pPr>
        <w:pStyle w:val="Heading2"/>
      </w:pPr>
      <w:r>
        <w:t>Recovery priority</w:t>
      </w:r>
    </w:p>
    <w:p>
      <w:pPr>
        <w:spacing w:after="60"/>
      </w:pPr>
      <w:r>
        <w:rPr>
          <w:b/>
          <w:color w:val="2F8FFF"/>
        </w:rPr>
        <w:t xml:space="preserve">1. </w:t>
      </w:r>
      <w:r>
        <w:t>Restore private/control-plane access.</w:t>
      </w:r>
    </w:p>
    <w:p>
      <w:pPr>
        <w:spacing w:after="60"/>
      </w:pPr>
      <w:r>
        <w:rPr>
          <w:b/>
          <w:color w:val="2F8FFF"/>
        </w:rPr>
        <w:t xml:space="preserve">2. </w:t>
      </w:r>
      <w:r>
        <w:t>Restore SQLite/config from a verified backup.</w:t>
      </w:r>
    </w:p>
    <w:p>
      <w:pPr>
        <w:spacing w:after="60"/>
      </w:pPr>
      <w:r>
        <w:rPr>
          <w:b/>
          <w:color w:val="2F8FFF"/>
        </w:rPr>
        <w:t xml:space="preserve">3. </w:t>
      </w:r>
      <w:r>
        <w:t>Restore secret sources or reconfigure integrations.</w:t>
      </w:r>
    </w:p>
    <w:p>
      <w:pPr>
        <w:spacing w:after="60"/>
      </w:pPr>
      <w:r>
        <w:rPr>
          <w:b/>
          <w:color w:val="2F8FFF"/>
        </w:rPr>
        <w:t xml:space="preserve">4. </w:t>
      </w:r>
      <w:r>
        <w:t>Start read-only if action providers are unavailable.</w:t>
      </w:r>
    </w:p>
    <w:p>
      <w:pPr>
        <w:spacing w:after="60"/>
      </w:pPr>
      <w:r>
        <w:rPr>
          <w:b/>
          <w:color w:val="2F8FFF"/>
        </w:rPr>
        <w:t xml:space="preserve">5. </w:t>
      </w:r>
      <w:r>
        <w:t>Re-enrol agents only when credentials cannot safely be recovered.</w:t>
      </w:r>
    </w:p>
    <w:tbl>
      <w:tblPr>
        <w:tblW w:type="auto" w:w="0"/>
        <w:jc w:val="center"/>
        <w:tblLook w:firstColumn="1" w:firstRow="1" w:lastColumn="0" w:lastRow="0" w:noHBand="0" w:noVBand="1" w:val="04A0"/>
      </w:tblPr>
      <w:tblGrid>
        <w:gridCol w:w="10166"/>
      </w:tblGrid>
      <w:tr>
        <w:tc>
          <w:tcPr>
            <w:tcW w:type="dxa" w:w="10166"/>
            <w:shd w:fill="FFF7E8"/>
            <w:tcBorders>
              <w:top w:val="single" w:sz="10" w:color="F3AE45"/>
              <w:left w:val="single" w:sz="10" w:color="F3AE45"/>
              <w:bottom w:val="single" w:sz="10" w:color="F3AE45"/>
              <w:right w:val="single" w:sz="10" w:color="F3AE45"/>
            </w:tcBorders>
          </w:tcPr>
          <w:p>
            <w:pPr>
              <w:spacing w:after="40"/>
            </w:pPr>
            <w:r>
              <w:rPr>
                <w:b/>
                <w:color w:val="07111F"/>
                <w:sz w:val="21"/>
              </w:rPr>
              <w:t>Backup principle</w:t>
            </w:r>
          </w:p>
          <w:p>
            <w:pPr>
              <w:spacing w:after="0"/>
            </w:pPr>
            <w:r>
              <w:rPr>
                <w:sz w:val="18"/>
              </w:rPr>
              <w:t>A green backup status means the backup job ran successfully. It does not prove recoverability. The project roadmap therefore includes a documented test-restore procedure.</w:t>
            </w:r>
          </w:p>
        </w:tc>
      </w:tr>
    </w:tbl>
    <w:p>
      <w:pPr>
        <w:spacing w:after="0"/>
      </w:pP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13. Agent development model</w:t>
      </w:r>
    </w:p>
    <w:p>
      <w:pPr>
        <w:pStyle w:val="Heading2"/>
      </w:pPr>
      <w:r>
        <w:t>Codex</w:t>
      </w:r>
    </w:p>
    <w:p>
      <w:r>
        <w:t>Codex is the primary implementation and architecture agent. It owns the Go control plane, database, API, node-agent trust/protocol, integration architecture, compute/scheduler behavior, security-sensitive backend actions, release packaging and integration of other contributions.</w:t>
      </w:r>
    </w:p>
    <w:p>
      <w:pPr>
        <w:pStyle w:val="Heading2"/>
      </w:pPr>
      <w:r>
        <w:t>Claude Code</w:t>
      </w:r>
    </w:p>
    <w:p>
      <w:r>
        <w:t>Claude Code can be used as a supporting implementation agent for bounded work packages that have clear interfaces. The supplied CLAUDE.md assigns good candidates: reusable frontend components, SVG topology rendering, typed frontend API client, workflow UI and deterministic Playwright fixtures/tests.</w:t>
      </w:r>
    </w:p>
    <w:tbl>
      <w:tblPr>
        <w:tblW w:type="auto" w:w="0"/>
        <w:jc w:val="center"/>
        <w:tblLayout w:type="fixed"/>
        <w:tblLook w:firstColumn="1" w:firstRow="1" w:lastColumn="0" w:lastRow="0" w:noHBand="0" w:noVBand="1" w:val="04A0"/>
      </w:tblPr>
      <w:tblGrid>
        <w:gridCol w:w="5083"/>
        <w:gridCol w:w="5083"/>
      </w:tblGrid>
      <w:tr>
        <w:tc>
          <w:tcPr>
            <w:tcW w:type="dxa" w:w="3024"/>
            <w:shd w:fill="07111F"/>
            <w:tcBorders>
              <w:top w:val="single" w:sz="6" w:color="07111F"/>
              <w:left w:val="single" w:sz="6" w:color="07111F"/>
              <w:bottom w:val="single" w:sz="6" w:color="07111F"/>
              <w:right w:val="single" w:sz="6" w:color="07111F"/>
            </w:tcBorders>
          </w:tcPr>
          <w:p>
            <w:r>
              <w:rPr>
                <w:b/>
                <w:color w:val="FFFFFF"/>
                <w:sz w:val="18"/>
              </w:rPr>
              <w:t>Work area</w:t>
            </w:r>
          </w:p>
        </w:tc>
        <w:tc>
          <w:tcPr>
            <w:tcW w:type="dxa" w:w="6768"/>
            <w:shd w:fill="07111F"/>
            <w:tcBorders>
              <w:top w:val="single" w:sz="6" w:color="07111F"/>
              <w:left w:val="single" w:sz="6" w:color="07111F"/>
              <w:bottom w:val="single" w:sz="6" w:color="07111F"/>
              <w:right w:val="single" w:sz="6" w:color="07111F"/>
            </w:tcBorders>
          </w:tcPr>
          <w:p>
            <w:r>
              <w:rPr>
                <w:b/>
                <w:color w:val="FFFFFF"/>
                <w:sz w:val="18"/>
              </w:rPr>
              <w:t>Default owner</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Frontend component library</w:t>
            </w:r>
          </w:p>
        </w:tc>
        <w:tc>
          <w:tcPr>
            <w:tcW w:type="dxa" w:w="6768"/>
            <w:shd w:fill="F3F7FB"/>
            <w:tcBorders>
              <w:top w:val="single" w:sz="6" w:color="D8E2EC"/>
              <w:left w:val="single" w:sz="6" w:color="D8E2EC"/>
              <w:bottom w:val="single" w:sz="6" w:color="D8E2EC"/>
              <w:right w:val="single" w:sz="6" w:color="D8E2EC"/>
            </w:tcBorders>
            <w:vAlign w:val="center"/>
          </w:tcPr>
          <w:p>
            <w:r>
              <w:rPr>
                <w:sz w:val="17"/>
              </w:rPr>
              <w:t>Claude candidate</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SVG topology renderer</w:t>
            </w:r>
          </w:p>
        </w:tc>
        <w:tc>
          <w:tcPr>
            <w:tcW w:type="dxa" w:w="6768"/>
            <w:shd w:fill="FFFFFF"/>
            <w:tcBorders>
              <w:top w:val="single" w:sz="6" w:color="D8E2EC"/>
              <w:left w:val="single" w:sz="6" w:color="D8E2EC"/>
              <w:bottom w:val="single" w:sz="6" w:color="D8E2EC"/>
              <w:right w:val="single" w:sz="6" w:color="D8E2EC"/>
            </w:tcBorders>
            <w:vAlign w:val="center"/>
          </w:tcPr>
          <w:p>
            <w:r>
              <w:rPr>
                <w:sz w:val="17"/>
              </w:rPr>
              <w:t>Claude candidate</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Workflow visual editor/viewer</w:t>
            </w:r>
          </w:p>
        </w:tc>
        <w:tc>
          <w:tcPr>
            <w:tcW w:type="dxa" w:w="6768"/>
            <w:shd w:fill="F3F7FB"/>
            <w:tcBorders>
              <w:top w:val="single" w:sz="6" w:color="D8E2EC"/>
              <w:left w:val="single" w:sz="6" w:color="D8E2EC"/>
              <w:bottom w:val="single" w:sz="6" w:color="D8E2EC"/>
              <w:right w:val="single" w:sz="6" w:color="D8E2EC"/>
            </w:tcBorders>
            <w:vAlign w:val="center"/>
          </w:tcPr>
          <w:p>
            <w:r>
              <w:rPr>
                <w:sz w:val="17"/>
              </w:rPr>
              <w:t>Claude candidate</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Playwright UI coverage</w:t>
            </w:r>
          </w:p>
        </w:tc>
        <w:tc>
          <w:tcPr>
            <w:tcW w:type="dxa" w:w="6768"/>
            <w:shd w:fill="FFFFFF"/>
            <w:tcBorders>
              <w:top w:val="single" w:sz="6" w:color="D8E2EC"/>
              <w:left w:val="single" w:sz="6" w:color="D8E2EC"/>
              <w:bottom w:val="single" w:sz="6" w:color="D8E2EC"/>
              <w:right w:val="single" w:sz="6" w:color="D8E2EC"/>
            </w:tcBorders>
            <w:vAlign w:val="center"/>
          </w:tcPr>
          <w:p>
            <w:r>
              <w:rPr>
                <w:sz w:val="17"/>
              </w:rPr>
              <w:t>Claude candidate</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Authentication architecture</w:t>
            </w:r>
          </w:p>
        </w:tc>
        <w:tc>
          <w:tcPr>
            <w:tcW w:type="dxa" w:w="6768"/>
            <w:shd w:fill="F3F7FB"/>
            <w:tcBorders>
              <w:top w:val="single" w:sz="6" w:color="D8E2EC"/>
              <w:left w:val="single" w:sz="6" w:color="D8E2EC"/>
              <w:bottom w:val="single" w:sz="6" w:color="D8E2EC"/>
              <w:right w:val="single" w:sz="6" w:color="D8E2EC"/>
            </w:tcBorders>
            <w:vAlign w:val="center"/>
          </w:tcPr>
          <w:p>
            <w:r>
              <w:rPr>
                <w:sz w:val="17"/>
              </w:rPr>
              <w:t>Codex only unless explicitly reassigned</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Agent enrollment/trust</w:t>
            </w:r>
          </w:p>
        </w:tc>
        <w:tc>
          <w:tcPr>
            <w:tcW w:type="dxa" w:w="6768"/>
            <w:shd w:fill="FFFFFF"/>
            <w:tcBorders>
              <w:top w:val="single" w:sz="6" w:color="D8E2EC"/>
              <w:left w:val="single" w:sz="6" w:color="D8E2EC"/>
              <w:bottom w:val="single" w:sz="6" w:color="D8E2EC"/>
              <w:right w:val="single" w:sz="6" w:color="D8E2EC"/>
            </w:tcBorders>
            <w:vAlign w:val="center"/>
          </w:tcPr>
          <w:p>
            <w:r>
              <w:rPr>
                <w:sz w:val="17"/>
              </w:rPr>
              <w:t>Codex only</w:t>
            </w:r>
          </w:p>
        </w:tc>
      </w:tr>
      <w:tr>
        <w:tc>
          <w:tcPr>
            <w:tcW w:type="dxa" w:w="3024"/>
            <w:shd w:fill="F3F7FB"/>
            <w:tcBorders>
              <w:top w:val="single" w:sz="6" w:color="D8E2EC"/>
              <w:left w:val="single" w:sz="6" w:color="D8E2EC"/>
              <w:bottom w:val="single" w:sz="6" w:color="D8E2EC"/>
              <w:right w:val="single" w:sz="6" w:color="D8E2EC"/>
            </w:tcBorders>
            <w:vAlign w:val="center"/>
          </w:tcPr>
          <w:p>
            <w:r>
              <w:rPr>
                <w:b/>
                <w:sz w:val="17"/>
              </w:rPr>
              <w:t>Scheduler semantics</w:t>
            </w:r>
          </w:p>
        </w:tc>
        <w:tc>
          <w:tcPr>
            <w:tcW w:type="dxa" w:w="6768"/>
            <w:shd w:fill="F3F7FB"/>
            <w:tcBorders>
              <w:top w:val="single" w:sz="6" w:color="D8E2EC"/>
              <w:left w:val="single" w:sz="6" w:color="D8E2EC"/>
              <w:bottom w:val="single" w:sz="6" w:color="D8E2EC"/>
              <w:right w:val="single" w:sz="6" w:color="D8E2EC"/>
            </w:tcBorders>
            <w:vAlign w:val="center"/>
          </w:tcPr>
          <w:p>
            <w:r>
              <w:rPr>
                <w:sz w:val="17"/>
              </w:rPr>
              <w:t>Codex only</w:t>
            </w:r>
          </w:p>
        </w:tc>
      </w:tr>
      <w:tr>
        <w:tc>
          <w:tcPr>
            <w:tcW w:type="dxa" w:w="3024"/>
            <w:shd w:fill="FFFFFF"/>
            <w:tcBorders>
              <w:top w:val="single" w:sz="6" w:color="D8E2EC"/>
              <w:left w:val="single" w:sz="6" w:color="D8E2EC"/>
              <w:bottom w:val="single" w:sz="6" w:color="D8E2EC"/>
              <w:right w:val="single" w:sz="6" w:color="D8E2EC"/>
            </w:tcBorders>
            <w:vAlign w:val="center"/>
          </w:tcPr>
          <w:p>
            <w:r>
              <w:rPr>
                <w:b/>
                <w:sz w:val="17"/>
              </w:rPr>
              <w:t>Destructive backend actions</w:t>
            </w:r>
          </w:p>
        </w:tc>
        <w:tc>
          <w:tcPr>
            <w:tcW w:type="dxa" w:w="6768"/>
            <w:shd w:fill="FFFFFF"/>
            <w:tcBorders>
              <w:top w:val="single" w:sz="6" w:color="D8E2EC"/>
              <w:left w:val="single" w:sz="6" w:color="D8E2EC"/>
              <w:bottom w:val="single" w:sz="6" w:color="D8E2EC"/>
              <w:right w:val="single" w:sz="6" w:color="D8E2EC"/>
            </w:tcBorders>
            <w:vAlign w:val="center"/>
          </w:tcPr>
          <w:p>
            <w:r>
              <w:rPr>
                <w:sz w:val="17"/>
              </w:rPr>
              <w:t>Codex only</w:t>
            </w:r>
          </w:p>
        </w:tc>
      </w:tr>
    </w:tbl>
    <w:p>
      <w:pPr>
        <w:spacing w:after="0"/>
      </w:pPr>
    </w:p>
    <w:tbl>
      <w:tblPr>
        <w:tblW w:type="auto" w:w="0"/>
        <w:jc w:val="center"/>
        <w:tblLook w:firstColumn="1" w:firstRow="1" w:lastColumn="0" w:lastRow="0" w:noHBand="0" w:noVBand="1" w:val="04A0"/>
      </w:tblPr>
      <w:tblGrid>
        <w:gridCol w:w="10166"/>
      </w:tblGrid>
      <w:tr>
        <w:tc>
          <w:tcPr>
            <w:tcW w:type="dxa" w:w="10166"/>
            <w:shd w:fill="EAF8FF"/>
            <w:tcBorders>
              <w:top w:val="single" w:sz="10" w:color="19C8FF"/>
              <w:left w:val="single" w:sz="10" w:color="19C8FF"/>
              <w:bottom w:val="single" w:sz="10" w:color="19C8FF"/>
              <w:right w:val="single" w:sz="10" w:color="19C8FF"/>
            </w:tcBorders>
          </w:tcPr>
          <w:p>
            <w:pPr>
              <w:spacing w:after="40"/>
            </w:pPr>
            <w:r>
              <w:rPr>
                <w:b/>
                <w:color w:val="07111F"/>
                <w:sz w:val="21"/>
              </w:rPr>
              <w:t>Integration rule</w:t>
            </w:r>
          </w:p>
          <w:p>
            <w:pPr>
              <w:spacing w:after="0"/>
            </w:pPr>
            <w:r>
              <w:rPr>
                <w:sz w:val="18"/>
              </w:rPr>
              <w:t>Codex reviews and integrates Claude Code output. Claude contributions do not override AGENTS.md or the architectural decision log.</w:t>
            </w:r>
          </w:p>
        </w:tc>
      </w:tr>
    </w:tbl>
    <w:p>
      <w:pPr>
        <w:spacing w:after="0"/>
      </w:pPr>
    </w:p>
    <w:p>
      <w:r>
        <w:br w:type="page"/>
      </w:r>
    </w:p>
    <w:tbl>
      <w:tblPr>
        <w:tblW w:type="auto" w:w="0"/>
        <w:jc w:val="left"/>
        <w:tblLayout w:type="fixed"/>
        <w:tblLook w:firstColumn="1" w:firstRow="1" w:lastColumn="0" w:lastRow="0" w:noHBand="0" w:noVBand="1" w:val="04A0"/>
      </w:tblPr>
      <w:tblGrid>
        <w:gridCol w:w="1584"/>
        <w:gridCol w:w="8496"/>
      </w:tblGrid>
      <w:tr>
        <w:tc>
          <w:tcPr>
            <w:tcW w:type="dxa" w:w="5083"/>
            <w:tcBorders>
              <w:top w:val="nil" w:sz="0" w:color="FFFFFF"/>
              <w:left w:val="nil" w:sz="0" w:color="FFFFFF"/>
              <w:bottom w:val="nil" w:sz="0" w:color="FFFFFF"/>
              <w:right w:val="nil" w:sz="0" w:color="FFFFFF"/>
            </w:tcBorders>
            <w:shd w:fill="19C8FF"/>
          </w:tcPr>
          <w:p>
            <w:r/>
          </w:p>
        </w:tc>
        <w:tc>
          <w:tcPr>
            <w:tcW w:type="dxa" w:w="5083"/>
            <w:tcBorders>
              <w:top w:val="nil" w:sz="0" w:color="FFFFFF"/>
              <w:left w:val="nil" w:sz="0" w:color="FFFFFF"/>
              <w:bottom w:val="nil" w:sz="0" w:color="FFFFFF"/>
              <w:right w:val="nil" w:sz="0" w:color="FFFFFF"/>
            </w:tcBorders>
            <w:shd w:fill="FFFFFF"/>
          </w:tcPr>
          <w:p>
            <w:r/>
          </w:p>
        </w:tc>
      </w:tr>
    </w:tbl>
    <w:p>
      <w:pPr>
        <w:spacing w:after="0"/>
      </w:pPr>
    </w:p>
    <w:p>
      <w:pPr>
        <w:pStyle w:val="Heading1"/>
      </w:pPr>
      <w:r>
        <w:t>14. Decisions and future direction</w:t>
      </w:r>
    </w:p>
    <w:p>
      <w:pPr>
        <w:pStyle w:val="Heading2"/>
      </w:pPr>
      <w:r>
        <w:t>Locked for the initial build</w:t>
      </w:r>
    </w:p>
    <w:p>
      <w:pPr>
        <w:pStyle w:val="ListBullet"/>
        <w:spacing w:after="40"/>
      </w:pPr>
      <w:r>
        <w:rPr>
          <w:rFonts w:ascii="Liberation Sans" w:hAnsi="Liberation Sans"/>
        </w:rPr>
        <w:t>Project/domain name: oxnet.work.</w:t>
      </w:r>
    </w:p>
    <w:p>
      <w:pPr>
        <w:pStyle w:val="ListBullet"/>
        <w:spacing w:after="40"/>
      </w:pPr>
      <w:r>
        <w:rPr>
          <w:rFonts w:ascii="Liberation Sans" w:hAnsi="Liberation Sans"/>
        </w:rPr>
        <w:t>Lightweight one-service control-plane default.</w:t>
      </w:r>
    </w:p>
    <w:p>
      <w:pPr>
        <w:pStyle w:val="ListBullet"/>
        <w:spacing w:after="40"/>
      </w:pPr>
      <w:r>
        <w:rPr>
          <w:rFonts w:ascii="Liberation Sans" w:hAnsi="Liberation Sans"/>
        </w:rPr>
        <w:t>Go backend and node agent.</w:t>
      </w:r>
    </w:p>
    <w:p>
      <w:pPr>
        <w:pStyle w:val="ListBullet"/>
        <w:spacing w:after="40"/>
      </w:pPr>
      <w:r>
        <w:rPr>
          <w:rFonts w:ascii="Liberation Sans" w:hAnsi="Liberation Sans"/>
        </w:rPr>
        <w:t>React + TypeScript + Vite frontend.</w:t>
      </w:r>
    </w:p>
    <w:p>
      <w:pPr>
        <w:pStyle w:val="ListBullet"/>
        <w:spacing w:after="40"/>
      </w:pPr>
      <w:r>
        <w:rPr>
          <w:rFonts w:ascii="Liberation Sans" w:hAnsi="Liberation Sans"/>
        </w:rPr>
        <w:t>SQLite with migrations/WAL.</w:t>
      </w:r>
    </w:p>
    <w:p>
      <w:pPr>
        <w:pStyle w:val="ListBullet"/>
        <w:spacing w:after="40"/>
      </w:pPr>
      <w:r>
        <w:rPr>
          <w:rFonts w:ascii="Liberation Sans" w:hAnsi="Liberation Sans"/>
        </w:rPr>
        <w:t>SSE for live dashboard updates.</w:t>
      </w:r>
    </w:p>
    <w:p>
      <w:pPr>
        <w:pStyle w:val="ListBullet"/>
        <w:spacing w:after="40"/>
      </w:pPr>
      <w:r>
        <w:rPr>
          <w:rFonts w:ascii="Liberation Sans" w:hAnsi="Liberation Sans"/>
        </w:rPr>
        <w:t>SVG topology, no heavy 3D/WebGL.</w:t>
      </w:r>
    </w:p>
    <w:p>
      <w:pPr>
        <w:pStyle w:val="ListBullet"/>
        <w:spacing w:after="40"/>
      </w:pPr>
      <w:r>
        <w:rPr>
          <w:rFonts w:ascii="Liberation Sans" w:hAnsi="Liberation Sans"/>
        </w:rPr>
        <w:t>Typed agent actions, no arbitrary shell.</w:t>
      </w:r>
    </w:p>
    <w:p>
      <w:pPr>
        <w:pStyle w:val="ListBullet"/>
        <w:spacing w:after="40"/>
      </w:pPr>
      <w:r>
        <w:rPr>
          <w:rFonts w:ascii="Liberation Sans" w:hAnsi="Liberation Sans"/>
        </w:rPr>
        <w:t>Private/Tailscale-first access.</w:t>
      </w:r>
    </w:p>
    <w:p>
      <w:pPr>
        <w:pStyle w:val="ListBullet"/>
        <w:spacing w:after="40"/>
      </w:pPr>
      <w:r>
        <w:rPr>
          <w:rFonts w:ascii="Liberation Sans" w:hAnsi="Liberation Sans"/>
        </w:rPr>
        <w:t>Approved five-screen Command Centre UI direction.</w:t>
      </w:r>
    </w:p>
    <w:p>
      <w:pPr>
        <w:pStyle w:val="Heading2"/>
      </w:pPr>
      <w:r>
        <w:t>Deliberately deferred</w:t>
      </w:r>
    </w:p>
    <w:p>
      <w:pPr>
        <w:pStyle w:val="ListBullet"/>
        <w:spacing w:after="40"/>
      </w:pPr>
      <w:r>
        <w:rPr>
          <w:rFonts w:ascii="Liberation Sans" w:hAnsi="Liberation Sans"/>
        </w:rPr>
        <w:t>AI natural-language operations in the command palette.</w:t>
      </w:r>
    </w:p>
    <w:p>
      <w:pPr>
        <w:pStyle w:val="ListBullet"/>
        <w:spacing w:after="40"/>
      </w:pPr>
      <w:r>
        <w:rPr>
          <w:rFonts w:ascii="Liberation Sans" w:hAnsi="Liberation Sans"/>
        </w:rPr>
        <w:t>Highly available multi-control-plane mode.</w:t>
      </w:r>
    </w:p>
    <w:p>
      <w:pPr>
        <w:pStyle w:val="ListBullet"/>
        <w:spacing w:after="40"/>
      </w:pPr>
      <w:r>
        <w:rPr>
          <w:rFonts w:ascii="Liberation Sans" w:hAnsi="Liberation Sans"/>
        </w:rPr>
        <w:t>Advanced distributed queue/broker.</w:t>
      </w:r>
    </w:p>
    <w:p>
      <w:pPr>
        <w:pStyle w:val="ListBullet"/>
        <w:spacing w:after="40"/>
      </w:pPr>
      <w:r>
        <w:rPr>
          <w:rFonts w:ascii="Liberation Sans" w:hAnsi="Liberation Sans"/>
        </w:rPr>
        <w:t>Kubernetes orchestration.</w:t>
      </w:r>
    </w:p>
    <w:p>
      <w:pPr>
        <w:pStyle w:val="ListBullet"/>
        <w:spacing w:after="40"/>
      </w:pPr>
      <w:r>
        <w:rPr>
          <w:rFonts w:ascii="Liberation Sans" w:hAnsi="Liberation Sans"/>
        </w:rPr>
        <w:t>Public-facing multi-user SaaS features.</w:t>
      </w:r>
    </w:p>
    <w:p>
      <w:pPr>
        <w:pStyle w:val="ListBullet"/>
        <w:spacing w:after="40"/>
      </w:pPr>
      <w:r>
        <w:rPr>
          <w:rFonts w:ascii="Liberation Sans" w:hAnsi="Liberation Sans"/>
        </w:rPr>
        <w:t>Large-scale historical metrics/log storage.</w:t>
      </w:r>
    </w:p>
    <w:p>
      <w:pPr>
        <w:pStyle w:val="Heading2"/>
      </w:pPr>
      <w:r>
        <w:t>Owner decision points during implementation</w:t>
      </w:r>
    </w:p>
    <w:p>
      <w:pPr>
        <w:pStyle w:val="ListBullet"/>
        <w:spacing w:after="40"/>
      </w:pPr>
      <w:r>
        <w:rPr>
          <w:rFonts w:ascii="Liberation Sans" w:hAnsi="Liberation Sans"/>
        </w:rPr>
        <w:t>Where the first production control plane will run.</w:t>
      </w:r>
    </w:p>
    <w:p>
      <w:pPr>
        <w:pStyle w:val="ListBullet"/>
        <w:spacing w:after="40"/>
      </w:pPr>
      <w:r>
        <w:rPr>
          <w:rFonts w:ascii="Liberation Sans" w:hAnsi="Liberation Sans"/>
        </w:rPr>
        <w:t>Which hosts receive the oxnet agent first.</w:t>
      </w:r>
    </w:p>
    <w:p>
      <w:pPr>
        <w:pStyle w:val="ListBullet"/>
        <w:spacing w:after="40"/>
      </w:pPr>
      <w:r>
        <w:rPr>
          <w:rFonts w:ascii="Liberation Sans" w:hAnsi="Liberation Sans"/>
        </w:rPr>
        <w:t>Final Authentik/OIDC exposure policy.</w:t>
      </w:r>
    </w:p>
    <w:p>
      <w:pPr>
        <w:pStyle w:val="ListBullet"/>
        <w:spacing w:after="40"/>
      </w:pPr>
      <w:r>
        <w:rPr>
          <w:rFonts w:ascii="Liberation Sans" w:hAnsi="Liberation Sans"/>
        </w:rPr>
        <w:t>Which backup repository/tool becomes the first supported provider.</w:t>
      </w:r>
    </w:p>
    <w:p>
      <w:pPr>
        <w:pStyle w:val="ListBullet"/>
        <w:spacing w:after="40"/>
      </w:pPr>
      <w:r>
        <w:rPr>
          <w:rFonts w:ascii="Liberation Sans" w:hAnsi="Liberation Sans"/>
        </w:rPr>
        <w:t>Exact OpenCode worker/job interface once the shared-compute deployment is final.</w:t>
      </w:r>
    </w:p>
    <w:p>
      <w:pPr>
        <w:pStyle w:val="ListBullet"/>
        <w:spacing w:after="40"/>
      </w:pPr>
      <w:r>
        <w:rPr>
          <w:rFonts w:ascii="Liberation Sans" w:hAnsi="Liberation Sans"/>
        </w:rPr>
        <w:t>Whether oxnet.work remains tailnet-only or is later published through Pangolin.</w:t>
      </w:r>
    </w:p>
    <w:tbl>
      <w:tblPr>
        <w:tblW w:type="auto" w:w="0"/>
        <w:jc w:val="center"/>
        <w:tblLook w:firstColumn="1" w:firstRow="1" w:lastColumn="0" w:lastRow="0" w:noHBand="0" w:noVBand="1" w:val="04A0"/>
      </w:tblPr>
      <w:tblGrid>
        <w:gridCol w:w="10166"/>
      </w:tblGrid>
      <w:tr>
        <w:tc>
          <w:tcPr>
            <w:tcW w:type="dxa" w:w="10166"/>
            <w:shd w:fill="EAF8FF"/>
            <w:tcBorders>
              <w:top w:val="single" w:sz="10" w:color="19C8FF"/>
              <w:left w:val="single" w:sz="10" w:color="19C8FF"/>
              <w:bottom w:val="single" w:sz="10" w:color="19C8FF"/>
              <w:right w:val="single" w:sz="10" w:color="19C8FF"/>
            </w:tcBorders>
          </w:tcPr>
          <w:p>
            <w:pPr>
              <w:spacing w:after="40"/>
            </w:pPr>
            <w:r>
              <w:rPr>
                <w:b/>
                <w:color w:val="07111F"/>
                <w:sz w:val="21"/>
              </w:rPr>
              <w:t>North star</w:t>
            </w:r>
          </w:p>
          <w:p>
            <w:pPr>
              <w:spacing w:after="0"/>
            </w:pPr>
            <w:r>
              <w:rPr>
                <w:sz w:val="18"/>
              </w:rPr>
              <w:t>A private cloud command centre that can explain its own health, show where capacity exists, automate routine work, and route approved compute/jobs to the right node - without becoming heavyweight infrastructure itself.</w:t>
            </w:r>
          </w:p>
        </w:tc>
      </w:tr>
    </w:tbl>
    <w:p>
      <w:pPr>
        <w:spacing w:after="0"/>
      </w:pPr>
    </w:p>
    <w:p>
      <w:pPr>
        <w:spacing w:before="360"/>
        <w:jc w:val="center"/>
      </w:pPr>
      <w:r>
        <w:rPr>
          <w:i/>
          <w:color w:val="5D6B7E"/>
          <w:sz w:val="17"/>
        </w:rPr>
        <w:t>Development handoff supplied separately: AGENTS.md, CODEX.md, CLAUDE.md and supporting specifications.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D6B7E"/>
        <w:sz w:val="16"/>
      </w:rPr>
      <w:t>Private infrastructure command centre - owner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D6B7E"/>
        <w:sz w:val="16"/>
      </w:rPr>
      <w:t>oxnet.work  |  Owner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color w:val="1722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07111F"/>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2F8FFF"/>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b/>
      <w:bCs/>
      <w:color w:val="0711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07111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XCaption">
    <w:name w:val="OX Caption"/>
    <w:pPr>
      <w:spacing w:after="160"/>
    </w:pPr>
    <w:rPr>
      <w:rFonts w:ascii="Liberation Sans" w:hAnsi="Liberation Sans"/>
      <w:i/>
      <w:color w:val="5D6B7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