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601B8" w14:textId="77777777" w:rsidR="00146130" w:rsidRDefault="00EA6ADF">
      <w:pPr>
        <w:pStyle w:val="Heading1"/>
      </w:pPr>
      <w:r>
        <w:t>Thesis Corrections</w:t>
      </w:r>
    </w:p>
    <w:p w14:paraId="1B0CD7C6" w14:textId="5A6C02F4" w:rsidR="00EA6ADF" w:rsidRPr="00A22DF2" w:rsidRDefault="00EA6ADF" w:rsidP="00EA6ADF">
      <w:pPr>
        <w:pStyle w:val="ListNumber"/>
      </w:pPr>
      <w:r w:rsidRPr="00A22DF2">
        <w:t xml:space="preserve">Iii </w:t>
      </w:r>
      <w:r w:rsidR="00A22DF2" w:rsidRPr="00A22DF2">
        <w:t>–</w:t>
      </w:r>
      <w:r w:rsidRPr="00A22DF2">
        <w:t xml:space="preserve"> </w:t>
      </w:r>
      <w:r w:rsidR="00A22DF2" w:rsidRPr="00A22DF2">
        <w:t xml:space="preserve">Added HiSPARC and Met Office to the acknowledgments </w:t>
      </w:r>
    </w:p>
    <w:p w14:paraId="56BE77EF" w14:textId="77777777" w:rsidR="00EA6ADF" w:rsidRDefault="00EA6ADF" w:rsidP="00EA6ADF">
      <w:pPr>
        <w:pStyle w:val="ListNumber"/>
      </w:pPr>
      <w:r>
        <w:t>I – changed to</w:t>
      </w:r>
      <w:r w:rsidR="005A71B3">
        <w:t>:</w:t>
      </w:r>
      <w:r>
        <w:t xml:space="preserve"> Sunspot Number (SSN)</w:t>
      </w:r>
    </w:p>
    <w:p w14:paraId="640BDDB8" w14:textId="77777777" w:rsidR="00EA6ADF" w:rsidRDefault="00EA6ADF" w:rsidP="00EA6ADF">
      <w:pPr>
        <w:pStyle w:val="ListNumber"/>
      </w:pPr>
      <w:r>
        <w:t>Xxvi</w:t>
      </w:r>
      <w:r w:rsidR="005A71B3">
        <w:t xml:space="preserve"> – changed to: International Sunspot Number (ISSN) </w:t>
      </w:r>
    </w:p>
    <w:p w14:paraId="3645CA24" w14:textId="77777777" w:rsidR="00EA6ADF" w:rsidRDefault="00EA6ADF" w:rsidP="00EA6ADF">
      <w:pPr>
        <w:pStyle w:val="ListNumber"/>
      </w:pPr>
      <w:r>
        <w:t>Xxviii</w:t>
      </w:r>
      <w:r w:rsidR="005A71B3">
        <w:t xml:space="preserve"> – changed to: Sunspot Number (SSN)</w:t>
      </w:r>
    </w:p>
    <w:p w14:paraId="2E6888F1" w14:textId="77777777" w:rsidR="00EA6ADF" w:rsidRDefault="00EA6ADF" w:rsidP="00EA6ADF">
      <w:pPr>
        <w:pStyle w:val="ListNumber"/>
      </w:pPr>
      <w:r>
        <w:t>1</w:t>
      </w:r>
      <w:r w:rsidR="0020611C">
        <w:t xml:space="preserve"> – change</w:t>
      </w:r>
      <w:r w:rsidR="006F3104">
        <w:t>d</w:t>
      </w:r>
      <w:r w:rsidR="0020611C">
        <w:t xml:space="preserve"> from “solar cycle” to “sunspot cycle”</w:t>
      </w:r>
    </w:p>
    <w:p w14:paraId="7B5A526D" w14:textId="77777777" w:rsidR="00EA6ADF" w:rsidRDefault="00EA6ADF" w:rsidP="00EA6ADF">
      <w:pPr>
        <w:pStyle w:val="ListNumber"/>
      </w:pPr>
      <w:r>
        <w:t>3</w:t>
      </w:r>
      <w:r w:rsidR="0020611C">
        <w:t xml:space="preserve"> – changed to: Sunspot Numbers (SSNs) and International Sunspot Number (ISSN)</w:t>
      </w:r>
    </w:p>
    <w:p w14:paraId="5319075F" w14:textId="77777777" w:rsidR="00EA6ADF" w:rsidRDefault="00EA6ADF" w:rsidP="00EA6ADF">
      <w:pPr>
        <w:pStyle w:val="ListNumber"/>
      </w:pPr>
      <w:r>
        <w:t>4</w:t>
      </w:r>
      <w:r w:rsidR="0020611C">
        <w:t xml:space="preserve"> – changed to match the legend in the figure</w:t>
      </w:r>
    </w:p>
    <w:p w14:paraId="023CB762" w14:textId="77777777" w:rsidR="00EA6ADF" w:rsidRDefault="00EA6ADF" w:rsidP="00EA6ADF">
      <w:pPr>
        <w:pStyle w:val="ListNumber"/>
      </w:pPr>
      <w:r>
        <w:t>5</w:t>
      </w:r>
      <w:r w:rsidR="0020611C">
        <w:t xml:space="preserve"> – changed as suggested in annotated thesis</w:t>
      </w:r>
    </w:p>
    <w:p w14:paraId="6E53E558" w14:textId="77777777" w:rsidR="00EA6ADF" w:rsidRDefault="00EA6ADF" w:rsidP="00EA6ADF">
      <w:pPr>
        <w:pStyle w:val="ListNumber"/>
      </w:pPr>
      <w:r>
        <w:t>7</w:t>
      </w:r>
      <w:r w:rsidR="0020611C">
        <w:t xml:space="preserve"> – changed to bring “recently” to front of sentence</w:t>
      </w:r>
      <w:r w:rsidR="00BB1BBA">
        <w:t xml:space="preserve"> and removed “of”</w:t>
      </w:r>
    </w:p>
    <w:p w14:paraId="23924A66" w14:textId="77777777" w:rsidR="00EA6ADF" w:rsidRDefault="00EA6ADF" w:rsidP="00EA6ADF">
      <w:pPr>
        <w:pStyle w:val="ListNumber"/>
      </w:pPr>
      <w:r>
        <w:t>8</w:t>
      </w:r>
      <w:r w:rsidR="0020611C">
        <w:t xml:space="preserve"> </w:t>
      </w:r>
      <w:r w:rsidR="00BB1BBA">
        <w:t>–</w:t>
      </w:r>
      <w:r w:rsidR="0020611C">
        <w:t xml:space="preserve"> </w:t>
      </w:r>
      <w:r w:rsidR="00BB1BBA">
        <w:t>changed “exists” to “exist”</w:t>
      </w:r>
    </w:p>
    <w:p w14:paraId="3E3CE4FA" w14:textId="77777777" w:rsidR="00EA6ADF" w:rsidRDefault="00EA6ADF" w:rsidP="00EA6ADF">
      <w:pPr>
        <w:pStyle w:val="ListNumber"/>
      </w:pPr>
      <w:r>
        <w:t>10</w:t>
      </w:r>
      <w:r w:rsidR="006F3104">
        <w:t xml:space="preserve"> – changed to Sunspot Numbers (SSNs) and International Sunspot Number (ISSN) and added “The F10.7 value and SSN are strongly correlated. Therefore,”</w:t>
      </w:r>
    </w:p>
    <w:p w14:paraId="41290DF5" w14:textId="77777777" w:rsidR="00EA6ADF" w:rsidRDefault="00EA6ADF" w:rsidP="00EA6ADF">
      <w:pPr>
        <w:pStyle w:val="ListNumber"/>
      </w:pPr>
      <w:r>
        <w:t>11</w:t>
      </w:r>
      <w:r w:rsidR="00CE7FC2">
        <w:t xml:space="preserve"> – added “so called” and changed to Sunspot Number (SSN)</w:t>
      </w:r>
    </w:p>
    <w:p w14:paraId="5F094040" w14:textId="77777777" w:rsidR="00EA6ADF" w:rsidRDefault="00EA6ADF" w:rsidP="00EA6ADF">
      <w:pPr>
        <w:pStyle w:val="ListNumber"/>
      </w:pPr>
      <w:r>
        <w:t>13</w:t>
      </w:r>
      <w:r w:rsidR="006112DD">
        <w:t xml:space="preserve"> – changed to (Cannon, 2013)</w:t>
      </w:r>
    </w:p>
    <w:p w14:paraId="00F2C5B3" w14:textId="00CC241F" w:rsidR="00EA6ADF" w:rsidRDefault="00EA6ADF" w:rsidP="00EA6ADF">
      <w:pPr>
        <w:pStyle w:val="ListNumber"/>
      </w:pPr>
      <w:r>
        <w:t>14</w:t>
      </w:r>
      <w:r w:rsidR="007372EB">
        <w:t xml:space="preserve"> – changed to Cannon (2013)</w:t>
      </w:r>
      <w:r w:rsidR="00F41D99">
        <w:t xml:space="preserve">, added extra detail tightening up the Carrington event, and provided detail on use of </w:t>
      </w:r>
      <w:proofErr w:type="spellStart"/>
      <w:r w:rsidR="00F41D99">
        <w:t>cosmonuclides</w:t>
      </w:r>
      <w:proofErr w:type="spellEnd"/>
    </w:p>
    <w:p w14:paraId="7C970D76" w14:textId="77F3B086" w:rsidR="00EA6ADF" w:rsidRPr="002D01F4" w:rsidRDefault="00EA6ADF" w:rsidP="00EA6ADF">
      <w:pPr>
        <w:pStyle w:val="ListNumber"/>
      </w:pPr>
      <w:r w:rsidRPr="002D01F4">
        <w:t>15</w:t>
      </w:r>
      <w:r w:rsidR="00986296" w:rsidRPr="002D01F4">
        <w:t xml:space="preserve"> – changed timeframe for another </w:t>
      </w:r>
      <w:proofErr w:type="spellStart"/>
      <w:r w:rsidR="00986296" w:rsidRPr="002D01F4">
        <w:t>Carrignton</w:t>
      </w:r>
      <w:proofErr w:type="spellEnd"/>
      <w:r w:rsidR="00986296" w:rsidRPr="002D01F4">
        <w:t xml:space="preserve">-like event from 250 years to approx. 100 years and updated references to include </w:t>
      </w:r>
      <w:proofErr w:type="spellStart"/>
      <w:r w:rsidR="00986296" w:rsidRPr="002D01F4">
        <w:t>Elvidge</w:t>
      </w:r>
      <w:proofErr w:type="spellEnd"/>
      <w:r w:rsidR="00986296" w:rsidRPr="002D01F4">
        <w:t xml:space="preserve"> (2018) and Love (2020, 2021)</w:t>
      </w:r>
      <w:r w:rsidR="002D01F4" w:rsidRPr="002D01F4">
        <w:t xml:space="preserve">. Also incorporate </w:t>
      </w:r>
      <w:proofErr w:type="spellStart"/>
      <w:r w:rsidR="002D01F4" w:rsidRPr="002D01F4">
        <w:t>Hapgood</w:t>
      </w:r>
      <w:proofErr w:type="spellEnd"/>
      <w:r w:rsidR="002D01F4" w:rsidRPr="002D01F4">
        <w:t xml:space="preserve"> (2021) into the discussion around the lesson learned </w:t>
      </w:r>
      <w:r w:rsidR="002D01F4" w:rsidRPr="002D01F4">
        <w:lastRenderedPageBreak/>
        <w:t>from COVID-19 that are relevant to the risks of severe space weather</w:t>
      </w:r>
    </w:p>
    <w:p w14:paraId="49EC52DE" w14:textId="77777777" w:rsidR="00EA6ADF" w:rsidRDefault="00EA6ADF" w:rsidP="00EA6ADF">
      <w:pPr>
        <w:pStyle w:val="ListNumber"/>
      </w:pPr>
      <w:r>
        <w:t>17</w:t>
      </w:r>
      <w:r w:rsidR="00521706">
        <w:t xml:space="preserve"> – removed “effects induced</w:t>
      </w:r>
      <w:r w:rsidR="00FF0832">
        <w:t>”, changed</w:t>
      </w:r>
      <w:r w:rsidR="00521706">
        <w:t xml:space="preserve"> “communications” to “signals”, and changed to (Cannon, 2013)</w:t>
      </w:r>
    </w:p>
    <w:p w14:paraId="0A33DC5A" w14:textId="7FCBDED1" w:rsidR="00EA6ADF" w:rsidRPr="003E28D1" w:rsidRDefault="00EA6ADF" w:rsidP="00EA6ADF">
      <w:pPr>
        <w:pStyle w:val="ListNumber"/>
      </w:pPr>
      <w:r w:rsidRPr="003E28D1">
        <w:t>18</w:t>
      </w:r>
      <w:r w:rsidR="003E28D1" w:rsidRPr="003E28D1">
        <w:t xml:space="preserve"> – reviewed Eastwood et al. (2018) and updated this paragraph to state issues with the </w:t>
      </w:r>
      <w:proofErr w:type="spellStart"/>
      <w:r w:rsidR="003E28D1" w:rsidRPr="003E28D1">
        <w:t>Homeier</w:t>
      </w:r>
      <w:proofErr w:type="spellEnd"/>
      <w:r w:rsidR="003E28D1" w:rsidRPr="003E28D1">
        <w:t xml:space="preserve"> &amp; Wei (2013) study. </w:t>
      </w:r>
      <w:proofErr w:type="spellStart"/>
      <w:r w:rsidR="003E28D1" w:rsidRPr="003E28D1">
        <w:t>Hoever</w:t>
      </w:r>
      <w:proofErr w:type="spellEnd"/>
      <w:r w:rsidR="003E28D1" w:rsidRPr="003E28D1">
        <w:t>, no clear UK economic values were presented, but re-reviews of the U.S. economic effects were provided, so summarized here and used the Eastwood et al. (2018) reference</w:t>
      </w:r>
      <w:r w:rsidR="003E28D1">
        <w:t xml:space="preserve"> in the text too</w:t>
      </w:r>
      <w:r w:rsidR="003E28D1" w:rsidRPr="003E28D1">
        <w:t>.</w:t>
      </w:r>
    </w:p>
    <w:p w14:paraId="02992A09" w14:textId="5F84868A" w:rsidR="00EA6ADF" w:rsidRDefault="00EA6ADF" w:rsidP="00EA6ADF">
      <w:pPr>
        <w:pStyle w:val="ListNumber"/>
      </w:pPr>
      <w:r>
        <w:t>19</w:t>
      </w:r>
      <w:r w:rsidR="00FF0832">
        <w:t xml:space="preserve"> – added “</w:t>
      </w:r>
      <w:r w:rsidR="00FF0832" w:rsidRPr="00FF0832">
        <w:t>and that there is a good communications strategy</w:t>
      </w:r>
      <w:r w:rsidR="00FF0832">
        <w:t>” an</w:t>
      </w:r>
      <w:r w:rsidR="00993761">
        <w:t>d change</w:t>
      </w:r>
      <w:r w:rsidR="00770D21">
        <w:t>d</w:t>
      </w:r>
      <w:r w:rsidR="00993761">
        <w:t xml:space="preserve"> 1 </w:t>
      </w:r>
      <w:proofErr w:type="spellStart"/>
      <w:r w:rsidR="00993761">
        <w:t>keV</w:t>
      </w:r>
      <w:proofErr w:type="spellEnd"/>
      <w:r w:rsidR="00993761">
        <w:t xml:space="preserve"> to 10</w:t>
      </w:r>
      <w:r w:rsidR="00993761" w:rsidRPr="00993761">
        <w:rPr>
          <w:vertAlign w:val="superscript"/>
        </w:rPr>
        <w:t>3</w:t>
      </w:r>
      <w:r w:rsidR="00993761">
        <w:t xml:space="preserve"> eV</w:t>
      </w:r>
      <w:r w:rsidR="00B80AB9">
        <w:t>, and changed "can even forbid lower energy GCRs from the inner" to "can prohibit lower energy GCRs from entering the inner"</w:t>
      </w:r>
    </w:p>
    <w:p w14:paraId="48EE5DBB" w14:textId="77777777" w:rsidR="00EA6ADF" w:rsidRDefault="00EA6ADF" w:rsidP="00EA6ADF">
      <w:pPr>
        <w:pStyle w:val="ListNumber"/>
      </w:pPr>
      <w:r>
        <w:t>20</w:t>
      </w:r>
      <w:r w:rsidR="00993761">
        <w:t xml:space="preserve"> – changed ~ to consistently remove space, changed “–” to “to”, removed “of”, </w:t>
      </w:r>
    </w:p>
    <w:p w14:paraId="7B8EAD31" w14:textId="77777777" w:rsidR="00EA6ADF" w:rsidRDefault="00EA6ADF" w:rsidP="00EA6ADF">
      <w:pPr>
        <w:pStyle w:val="ListNumber"/>
      </w:pPr>
      <w:r>
        <w:t>22</w:t>
      </w:r>
      <w:r w:rsidR="0019669B">
        <w:t xml:space="preserve"> – swapped first comma to and “and” and left second comma in.</w:t>
      </w:r>
    </w:p>
    <w:p w14:paraId="2B9734FA" w14:textId="77777777" w:rsidR="00EA6ADF" w:rsidRDefault="00EA6ADF" w:rsidP="00EA6ADF">
      <w:pPr>
        <w:pStyle w:val="ListNumber"/>
      </w:pPr>
      <w:r>
        <w:t>27</w:t>
      </w:r>
      <w:r w:rsidR="0019669B">
        <w:t xml:space="preserve"> – made suggested changes</w:t>
      </w:r>
      <w:r w:rsidR="0053447F">
        <w:t xml:space="preserve"> in annotated PDF: changed “–” to “to” and added “for up to”</w:t>
      </w:r>
    </w:p>
    <w:p w14:paraId="62D81E2E" w14:textId="2732C1BD" w:rsidR="00EA6ADF" w:rsidRPr="00EE6F83" w:rsidRDefault="00EA6ADF" w:rsidP="00EA6ADF">
      <w:pPr>
        <w:pStyle w:val="ListNumber"/>
      </w:pPr>
      <w:r w:rsidRPr="00EE6F83">
        <w:t>34</w:t>
      </w:r>
      <w:r w:rsidR="00563841" w:rsidRPr="00EE6F83">
        <w:t xml:space="preserve"> – this is already covered in </w:t>
      </w:r>
      <w:r w:rsidR="00EE6F83" w:rsidRPr="00EE6F83">
        <w:t xml:space="preserve">Section 1.2.2: Impacts of Space Weather, but I have changed some of the wording on pages 17/18 to introduce ‘avionics’ and the reference to Hubert &amp; </w:t>
      </w:r>
      <w:proofErr w:type="spellStart"/>
      <w:r w:rsidR="00EE6F83" w:rsidRPr="00EE6F83">
        <w:t>Aubry</w:t>
      </w:r>
      <w:proofErr w:type="spellEnd"/>
      <w:r w:rsidR="00EE6F83" w:rsidRPr="00EE6F83">
        <w:t xml:space="preserve"> (2021)</w:t>
      </w:r>
      <w:r w:rsidR="00EE6F83">
        <w:t>.</w:t>
      </w:r>
    </w:p>
    <w:p w14:paraId="180AAFDE" w14:textId="77777777" w:rsidR="00EA6ADF" w:rsidRDefault="00EA6ADF" w:rsidP="00EA6ADF">
      <w:pPr>
        <w:pStyle w:val="ListNumber"/>
      </w:pPr>
      <w:r>
        <w:t>35</w:t>
      </w:r>
      <w:r w:rsidR="00962660">
        <w:t xml:space="preserve"> – changed “</w:t>
      </w:r>
      <w:r w:rsidR="009C09BD">
        <w:t>–”</w:t>
      </w:r>
      <w:r w:rsidR="00962660">
        <w:t xml:space="preserve"> to “and”, and </w:t>
      </w:r>
      <w:r w:rsidR="009C09BD">
        <w:t>removed “to demonstrate”</w:t>
      </w:r>
    </w:p>
    <w:p w14:paraId="6D09935D" w14:textId="77777777" w:rsidR="00EA6ADF" w:rsidRDefault="00EA6ADF" w:rsidP="00EA6ADF">
      <w:pPr>
        <w:pStyle w:val="ListNumber"/>
      </w:pPr>
      <w:r>
        <w:t>37</w:t>
      </w:r>
      <w:r w:rsidR="009C09BD">
        <w:t xml:space="preserve"> – removed brackets, added comma, and changed 2/4 to two/four</w:t>
      </w:r>
    </w:p>
    <w:p w14:paraId="23674E13" w14:textId="77777777" w:rsidR="00EA6ADF" w:rsidRDefault="00EA6ADF" w:rsidP="00EA6ADF">
      <w:pPr>
        <w:pStyle w:val="ListNumber"/>
      </w:pPr>
      <w:r>
        <w:t>39</w:t>
      </w:r>
      <w:r w:rsidR="009C09BD">
        <w:t xml:space="preserve"> – changed “400MHz and each PMTs” to “400MHz and each PMT”</w:t>
      </w:r>
    </w:p>
    <w:p w14:paraId="4D2AE8F9" w14:textId="77777777" w:rsidR="00EA6ADF" w:rsidRDefault="00EA6ADF" w:rsidP="00EA6ADF">
      <w:pPr>
        <w:pStyle w:val="ListNumber"/>
      </w:pPr>
      <w:r>
        <w:lastRenderedPageBreak/>
        <w:t>45</w:t>
      </w:r>
      <w:r w:rsidR="00BF4AC1">
        <w:t xml:space="preserve"> – changed Sun Spot to Sunspot</w:t>
      </w:r>
    </w:p>
    <w:p w14:paraId="02386989" w14:textId="77777777" w:rsidR="00EA6ADF" w:rsidRDefault="00EA6ADF" w:rsidP="00EA6ADF">
      <w:pPr>
        <w:pStyle w:val="ListNumber"/>
      </w:pPr>
      <w:r>
        <w:t>47</w:t>
      </w:r>
      <w:r w:rsidR="00BF4AC1">
        <w:t xml:space="preserve"> – changed “largest recorded event” to “largest GCR flux recorded”</w:t>
      </w:r>
    </w:p>
    <w:p w14:paraId="49354E69" w14:textId="5A84079A" w:rsidR="00EA6ADF" w:rsidRPr="00E717AB" w:rsidRDefault="00EA6ADF" w:rsidP="00EA6ADF">
      <w:pPr>
        <w:pStyle w:val="ListNumber"/>
      </w:pPr>
      <w:r w:rsidRPr="00E717AB">
        <w:t>51</w:t>
      </w:r>
      <w:r w:rsidR="00570A54" w:rsidRPr="00E717AB">
        <w:t xml:space="preserve"> – added a paragraph explaining the context of the events in Table 2.1</w:t>
      </w:r>
      <w:r w:rsidR="00E717AB" w:rsidRPr="00E717AB">
        <w:t>, i.e. linking them to specific notable events and ARs.</w:t>
      </w:r>
    </w:p>
    <w:p w14:paraId="1D0E0158" w14:textId="77777777" w:rsidR="00EA6ADF" w:rsidRDefault="00EA6ADF" w:rsidP="00EA6ADF">
      <w:pPr>
        <w:pStyle w:val="ListNumber"/>
      </w:pPr>
      <w:r>
        <w:t>55</w:t>
      </w:r>
      <w:r w:rsidR="008C7032">
        <w:t xml:space="preserve"> – added “</w:t>
      </w:r>
      <w:r w:rsidR="008C7032" w:rsidRPr="008C7032">
        <w:t>due to inconsistencies and data quality</w:t>
      </w:r>
      <w:r w:rsidR="008C7032">
        <w:t>” and changed numbers from symbols to words</w:t>
      </w:r>
    </w:p>
    <w:p w14:paraId="3D56465D" w14:textId="2F23024A" w:rsidR="00EA6ADF" w:rsidRPr="00D3456D" w:rsidRDefault="00EA6ADF" w:rsidP="00EA6ADF">
      <w:pPr>
        <w:pStyle w:val="ListNumber"/>
      </w:pPr>
      <w:r w:rsidRPr="00D3456D">
        <w:t>57</w:t>
      </w:r>
      <w:r w:rsidR="00163797" w:rsidRPr="00D3456D">
        <w:t xml:space="preserve"> – added </w:t>
      </w:r>
      <w:r w:rsidR="00D3456D" w:rsidRPr="00D3456D">
        <w:t>MM/YYYY labels to x-axis of Fig. 2.4</w:t>
      </w:r>
    </w:p>
    <w:p w14:paraId="31D63CDF" w14:textId="77777777" w:rsidR="00EA6ADF" w:rsidRDefault="00EA6ADF" w:rsidP="00EA6ADF">
      <w:pPr>
        <w:pStyle w:val="ListNumber"/>
      </w:pPr>
      <w:r>
        <w:t>67</w:t>
      </w:r>
      <w:r w:rsidR="008C7032">
        <w:t xml:space="preserve"> – added “</w:t>
      </w:r>
      <w:r w:rsidR="008C7032" w:rsidRPr="008C7032">
        <w:t>from thermally induced noise due to diurnal temperature variation</w:t>
      </w:r>
      <w:r w:rsidR="008C7032">
        <w:t>”</w:t>
      </w:r>
    </w:p>
    <w:p w14:paraId="02E9FDC0" w14:textId="77F6321A" w:rsidR="00EA6ADF" w:rsidRPr="005D7459" w:rsidRDefault="00EA6ADF" w:rsidP="00EA6ADF">
      <w:pPr>
        <w:pStyle w:val="ListNumber"/>
      </w:pPr>
      <w:r w:rsidRPr="005D7459">
        <w:t>69</w:t>
      </w:r>
      <w:r w:rsidR="00AF21F1" w:rsidRPr="005D7459">
        <w:t xml:space="preserve"> – added more text in Sec. 2.5.1 and 2.5.2 to clarify that the </w:t>
      </w:r>
      <w:r w:rsidR="005D7459" w:rsidRPr="005D7459">
        <w:t>long-term excursions and short-term (diurnal) variations are due to atmospheric variations</w:t>
      </w:r>
    </w:p>
    <w:p w14:paraId="65B84DD8" w14:textId="77777777" w:rsidR="00EA6ADF" w:rsidRDefault="00EA6ADF" w:rsidP="00EA6ADF">
      <w:pPr>
        <w:pStyle w:val="ListNumber"/>
      </w:pPr>
      <w:r>
        <w:t>73</w:t>
      </w:r>
      <w:r w:rsidR="00377514">
        <w:t xml:space="preserve"> – changed as suggested in annotated PDF</w:t>
      </w:r>
    </w:p>
    <w:p w14:paraId="6A8F3FEB" w14:textId="77777777" w:rsidR="00EA6ADF" w:rsidRDefault="00EA6ADF" w:rsidP="00EA6ADF">
      <w:pPr>
        <w:pStyle w:val="ListNumber"/>
      </w:pPr>
      <w:r>
        <w:t>74</w:t>
      </w:r>
      <w:r w:rsidR="00377514">
        <w:t xml:space="preserve"> – added correlation value, fixed caption spacing for Fig. 2.18, changed spelling of correlation, and removed “however”</w:t>
      </w:r>
    </w:p>
    <w:p w14:paraId="14941329" w14:textId="77777777" w:rsidR="00EA6ADF" w:rsidRDefault="00EA6ADF" w:rsidP="00EA6ADF">
      <w:pPr>
        <w:pStyle w:val="ListNumber"/>
      </w:pPr>
      <w:r>
        <w:t>75</w:t>
      </w:r>
      <w:r w:rsidR="00F00836">
        <w:t xml:space="preserve"> – Added dates of GLEs</w:t>
      </w:r>
    </w:p>
    <w:p w14:paraId="0FAFB7E1" w14:textId="3080A5F8" w:rsidR="00EA6ADF" w:rsidRPr="00227F95" w:rsidRDefault="00EA6ADF" w:rsidP="00EA6ADF">
      <w:pPr>
        <w:pStyle w:val="ListNumber"/>
      </w:pPr>
      <w:r w:rsidRPr="00227F95">
        <w:t>76</w:t>
      </w:r>
      <w:r w:rsidR="00227F95" w:rsidRPr="00227F95">
        <w:t xml:space="preserve"> – added the size of the increase measured for GLE 42 at Oulu, Finland, compared to GLE 70, 71, and 72, also measured at Oulu.</w:t>
      </w:r>
    </w:p>
    <w:p w14:paraId="632DFE1D" w14:textId="77777777" w:rsidR="00EA6ADF" w:rsidRDefault="00EA6ADF" w:rsidP="00EA6ADF">
      <w:pPr>
        <w:pStyle w:val="ListNumber"/>
      </w:pPr>
      <w:r>
        <w:t>77</w:t>
      </w:r>
      <w:r w:rsidR="00884129">
        <w:t xml:space="preserve"> – changed wording to firm up comparison between Fig. 2.22 and 2.23</w:t>
      </w:r>
    </w:p>
    <w:p w14:paraId="767A9465" w14:textId="77777777" w:rsidR="00EA6ADF" w:rsidRDefault="00EA6ADF" w:rsidP="00EA6ADF">
      <w:pPr>
        <w:pStyle w:val="ListNumber"/>
      </w:pPr>
      <w:r>
        <w:t>78</w:t>
      </w:r>
      <w:r w:rsidR="00C17B56">
        <w:t xml:space="preserve"> – same as above</w:t>
      </w:r>
    </w:p>
    <w:p w14:paraId="579BDC2E" w14:textId="77777777" w:rsidR="00EA6ADF" w:rsidRDefault="00EA6ADF" w:rsidP="00EA6ADF">
      <w:pPr>
        <w:pStyle w:val="ListNumber"/>
      </w:pPr>
      <w:r>
        <w:t>79</w:t>
      </w:r>
      <w:r w:rsidR="00C17B56">
        <w:t xml:space="preserve"> – changed “–” to “to”</w:t>
      </w:r>
    </w:p>
    <w:p w14:paraId="115AA35C" w14:textId="77777777" w:rsidR="00EA6ADF" w:rsidRDefault="00EA6ADF" w:rsidP="00EA6ADF">
      <w:pPr>
        <w:pStyle w:val="ListNumber"/>
      </w:pPr>
      <w:r>
        <w:t>82</w:t>
      </w:r>
      <w:r w:rsidR="00BA7BD4">
        <w:t xml:space="preserve"> – changed dashes for commas</w:t>
      </w:r>
    </w:p>
    <w:p w14:paraId="5D39C14F" w14:textId="7A31C007" w:rsidR="00EA6ADF" w:rsidRDefault="00EA6ADF" w:rsidP="00EA6ADF">
      <w:pPr>
        <w:pStyle w:val="ListNumber"/>
      </w:pPr>
      <w:r>
        <w:t>84</w:t>
      </w:r>
      <w:r w:rsidR="00DA1CFD">
        <w:t xml:space="preserve"> – changed /s to s^-1 as recommended </w:t>
      </w:r>
    </w:p>
    <w:p w14:paraId="0BB9D915" w14:textId="26633099" w:rsidR="00EA6ADF" w:rsidRDefault="00EA6ADF" w:rsidP="00EA6ADF">
      <w:pPr>
        <w:pStyle w:val="ListNumber"/>
      </w:pPr>
      <w:r>
        <w:t>91</w:t>
      </w:r>
      <w:r w:rsidR="00DA1CFD">
        <w:t xml:space="preserve"> – changed as suggested: “resulted … as” to “makes”</w:t>
      </w:r>
    </w:p>
    <w:p w14:paraId="73C9A4E3" w14:textId="1E31D998" w:rsidR="00EA6ADF" w:rsidRDefault="00EA6ADF" w:rsidP="00EA6ADF">
      <w:pPr>
        <w:pStyle w:val="ListNumber"/>
      </w:pPr>
      <w:r>
        <w:t>92</w:t>
      </w:r>
      <w:r w:rsidR="00DA1CFD">
        <w:t xml:space="preserve"> – added extra detail to justify rationale</w:t>
      </w:r>
    </w:p>
    <w:p w14:paraId="19C78364" w14:textId="0A4CBCF5" w:rsidR="00EA6ADF" w:rsidRDefault="00EA6ADF" w:rsidP="00EA6ADF">
      <w:pPr>
        <w:pStyle w:val="ListNumber"/>
      </w:pPr>
      <w:r>
        <w:lastRenderedPageBreak/>
        <w:t>93</w:t>
      </w:r>
      <w:r w:rsidR="00DA1CFD">
        <w:t xml:space="preserve"> – same as above</w:t>
      </w:r>
    </w:p>
    <w:p w14:paraId="16084E99" w14:textId="2AA863CE" w:rsidR="00EA6ADF" w:rsidRDefault="00EA6ADF" w:rsidP="00EA6ADF">
      <w:pPr>
        <w:pStyle w:val="ListNumber"/>
      </w:pPr>
      <w:r>
        <w:t>98</w:t>
      </w:r>
      <w:r w:rsidR="00DA1CFD">
        <w:t xml:space="preserve"> – added “seen”</w:t>
      </w:r>
    </w:p>
    <w:p w14:paraId="57BC110F" w14:textId="678DE218" w:rsidR="00EA6ADF" w:rsidRDefault="00EA6ADF" w:rsidP="00EA6ADF">
      <w:pPr>
        <w:pStyle w:val="ListNumber"/>
      </w:pPr>
      <w:r>
        <w:t>103</w:t>
      </w:r>
      <w:r w:rsidR="003B6963">
        <w:t xml:space="preserve"> – changed “some time” to “several months”</w:t>
      </w:r>
    </w:p>
    <w:p w14:paraId="64E73F3E" w14:textId="043C9CDD" w:rsidR="00EA6ADF" w:rsidRDefault="00EA6ADF" w:rsidP="00EA6ADF">
      <w:pPr>
        <w:pStyle w:val="ListNumber"/>
      </w:pPr>
      <w:r>
        <w:t>107</w:t>
      </w:r>
      <w:r w:rsidR="003B6963">
        <w:t xml:space="preserve"> – comments reflected that it is not necessary to include this discussion in the thesis, but we appreciate the link to the other data source</w:t>
      </w:r>
    </w:p>
    <w:p w14:paraId="167222B7" w14:textId="257AD736" w:rsidR="00EA6ADF" w:rsidRDefault="00EA6ADF" w:rsidP="00EA6ADF">
      <w:pPr>
        <w:pStyle w:val="ListNumber"/>
      </w:pPr>
      <w:r>
        <w:t>108</w:t>
      </w:r>
      <w:r w:rsidR="003B6963">
        <w:t xml:space="preserve"> – removed beginning of sentence, to being as “For …”</w:t>
      </w:r>
    </w:p>
    <w:p w14:paraId="33AA7D41" w14:textId="2B4F5699" w:rsidR="00EA6ADF" w:rsidRDefault="00EA6ADF" w:rsidP="00EA6ADF">
      <w:pPr>
        <w:pStyle w:val="ListNumber"/>
      </w:pPr>
      <w:r>
        <w:t>112</w:t>
      </w:r>
      <w:r w:rsidR="003B6963">
        <w:t xml:space="preserve"> – “assumption” changed to “fact”</w:t>
      </w:r>
    </w:p>
    <w:p w14:paraId="2E93F7FD" w14:textId="437A8D14" w:rsidR="00EA6ADF" w:rsidRDefault="00EA6ADF" w:rsidP="00EA6ADF">
      <w:pPr>
        <w:pStyle w:val="ListNumber"/>
      </w:pPr>
      <w:r>
        <w:t>113</w:t>
      </w:r>
      <w:r w:rsidR="003B6963">
        <w:t xml:space="preserve"> – changed “causation” to “</w:t>
      </w:r>
      <w:proofErr w:type="spellStart"/>
      <w:r w:rsidR="003B6963">
        <w:t>causaility</w:t>
      </w:r>
      <w:proofErr w:type="spellEnd"/>
      <w:r w:rsidR="003B6963">
        <w:t>”</w:t>
      </w:r>
    </w:p>
    <w:p w14:paraId="7D9D626C" w14:textId="3B79B4B1" w:rsidR="00EA6ADF" w:rsidRDefault="00EA6ADF" w:rsidP="00EA6ADF">
      <w:pPr>
        <w:pStyle w:val="ListNumber"/>
      </w:pPr>
      <w:r>
        <w:t>115</w:t>
      </w:r>
      <w:r w:rsidR="003B6963">
        <w:t xml:space="preserve"> – answered in viva and comments reflect no change now necessary</w:t>
      </w:r>
    </w:p>
    <w:p w14:paraId="19D5CE4F" w14:textId="2703FA64" w:rsidR="00EA6ADF" w:rsidRDefault="00EA6ADF" w:rsidP="00EA6ADF">
      <w:pPr>
        <w:pStyle w:val="ListNumber"/>
      </w:pPr>
      <w:r>
        <w:t>116</w:t>
      </w:r>
      <w:r w:rsidR="00F32D98">
        <w:t xml:space="preserve"> – inset caption in Fig. 3.10 changed to correct “coincidences” to “singles”, and added text “</w:t>
      </w:r>
      <w:r w:rsidR="006F3B34" w:rsidRPr="006F3B34">
        <w:t xml:space="preserve">from the nearby </w:t>
      </w:r>
      <w:r w:rsidR="006F3B34">
        <w:t>MIDAS</w:t>
      </w:r>
      <w:r w:rsidR="006F3B34" w:rsidRPr="006F3B34">
        <w:t xml:space="preserve"> station</w:t>
      </w:r>
      <w:r w:rsidR="00F32D98">
        <w:t xml:space="preserve">” </w:t>
      </w:r>
    </w:p>
    <w:p w14:paraId="3A5876F4" w14:textId="5E18B73C" w:rsidR="00EA6ADF" w:rsidRDefault="00EA6ADF" w:rsidP="00EA6ADF">
      <w:pPr>
        <w:pStyle w:val="ListNumber"/>
      </w:pPr>
      <w:r>
        <w:t>117</w:t>
      </w:r>
      <w:r w:rsidR="00225E63">
        <w:t xml:space="preserve"> – fixed caption separation in Fig. 3.12</w:t>
      </w:r>
    </w:p>
    <w:p w14:paraId="6ED848B4" w14:textId="1DF9EB25" w:rsidR="00EA6ADF" w:rsidRDefault="00EA6ADF" w:rsidP="00EA6ADF">
      <w:pPr>
        <w:pStyle w:val="ListNumber"/>
      </w:pPr>
      <w:r>
        <w:t>119</w:t>
      </w:r>
      <w:r w:rsidR="00225E63">
        <w:t xml:space="preserve"> – changed /s to s^-1 as recommended</w:t>
      </w:r>
    </w:p>
    <w:p w14:paraId="7A6A07F7" w14:textId="598F2241" w:rsidR="00EA6ADF" w:rsidRDefault="00EA6ADF" w:rsidP="00EA6ADF">
      <w:pPr>
        <w:pStyle w:val="ListNumber"/>
      </w:pPr>
      <w:r>
        <w:t>120</w:t>
      </w:r>
      <w:r w:rsidR="00225E63">
        <w:t xml:space="preserve"> – changed /s to s^-1 as recommended and removed “</w:t>
      </w:r>
      <w:r w:rsidR="00225E63" w:rsidRPr="00225E63">
        <w:t>by the Python script</w:t>
      </w:r>
      <w:r w:rsidR="00225E63">
        <w:t>”</w:t>
      </w:r>
    </w:p>
    <w:p w14:paraId="50C08232" w14:textId="429BEE94" w:rsidR="00EA6ADF" w:rsidRDefault="00EA6ADF" w:rsidP="00674A40">
      <w:pPr>
        <w:pStyle w:val="ListNumber"/>
      </w:pPr>
      <w:r>
        <w:t>121</w:t>
      </w:r>
      <w:r w:rsidR="00674A40">
        <w:t xml:space="preserve"> – changed /s to s^-1 as recommended</w:t>
      </w:r>
    </w:p>
    <w:p w14:paraId="044F8E8F" w14:textId="05E550F4" w:rsidR="00EA6ADF" w:rsidRDefault="00EA6ADF" w:rsidP="00EA6ADF">
      <w:pPr>
        <w:pStyle w:val="ListNumber"/>
      </w:pPr>
      <w:r>
        <w:t>124</w:t>
      </w:r>
      <w:r w:rsidR="00893CAD">
        <w:t xml:space="preserve"> – changed “no space weather events” to “no GLEs” and removed italics on “is”</w:t>
      </w:r>
    </w:p>
    <w:p w14:paraId="7B1CC7FB" w14:textId="490A858B" w:rsidR="00EA6ADF" w:rsidRDefault="00EA6ADF" w:rsidP="00EA6ADF">
      <w:pPr>
        <w:pStyle w:val="ListNumber"/>
      </w:pPr>
      <w:r>
        <w:t>128</w:t>
      </w:r>
      <w:r w:rsidR="00893CAD">
        <w:t xml:space="preserve"> – changed notation </w:t>
      </w:r>
    </w:p>
    <w:p w14:paraId="1A30E5B1" w14:textId="77777777" w:rsidR="00EA6ADF" w:rsidRPr="009F0CAF" w:rsidRDefault="00EA6ADF" w:rsidP="00EA6ADF">
      <w:pPr>
        <w:pStyle w:val="ListNumber"/>
        <w:rPr>
          <w:highlight w:val="yellow"/>
        </w:rPr>
      </w:pPr>
      <w:r w:rsidRPr="009F0CAF">
        <w:rPr>
          <w:highlight w:val="yellow"/>
        </w:rPr>
        <w:t>130</w:t>
      </w:r>
    </w:p>
    <w:p w14:paraId="60E8745E" w14:textId="1FA85864" w:rsidR="00EA6ADF" w:rsidRDefault="00EA6ADF" w:rsidP="00EA6ADF">
      <w:pPr>
        <w:pStyle w:val="ListNumber"/>
      </w:pPr>
      <w:r>
        <w:t>134</w:t>
      </w:r>
      <w:r w:rsidR="00893CAD">
        <w:t xml:space="preserve"> – </w:t>
      </w:r>
      <w:r w:rsidR="00EC0327">
        <w:t>changed wording/</w:t>
      </w:r>
      <w:r w:rsidR="00893CAD">
        <w:t xml:space="preserve">added in more detail to explain </w:t>
      </w:r>
      <w:r w:rsidR="00EC0327">
        <w:t>meaning</w:t>
      </w:r>
    </w:p>
    <w:p w14:paraId="50C51569" w14:textId="3E4A5F81" w:rsidR="00EA6ADF" w:rsidRDefault="00EA6ADF" w:rsidP="00EA6ADF">
      <w:pPr>
        <w:pStyle w:val="ListNumber"/>
      </w:pPr>
      <w:r>
        <w:t>140</w:t>
      </w:r>
      <w:r w:rsidR="00796F7C">
        <w:t xml:space="preserve"> – added (expected)</w:t>
      </w:r>
    </w:p>
    <w:p w14:paraId="33D34020" w14:textId="69816028" w:rsidR="00EA6ADF" w:rsidRDefault="00EA6ADF" w:rsidP="00EA6ADF">
      <w:pPr>
        <w:pStyle w:val="ListNumber"/>
      </w:pPr>
      <w:r>
        <w:lastRenderedPageBreak/>
        <w:t>150</w:t>
      </w:r>
      <w:r w:rsidR="00796F7C">
        <w:t xml:space="preserve"> – fixed layout so sentence is no longer sandwiched between figures and tables</w:t>
      </w:r>
    </w:p>
    <w:p w14:paraId="4A4FE371" w14:textId="5B03BB84" w:rsidR="00EA6ADF" w:rsidRDefault="00EA6ADF" w:rsidP="00EA6ADF">
      <w:pPr>
        <w:pStyle w:val="ListNumber"/>
      </w:pPr>
      <w:r>
        <w:t>155</w:t>
      </w:r>
      <w:r w:rsidR="00796F7C">
        <w:t xml:space="preserve"> – changed 0.34 to 0.36</w:t>
      </w:r>
    </w:p>
    <w:p w14:paraId="75D53B64" w14:textId="653F206D" w:rsidR="00EA6ADF" w:rsidRDefault="00EA6ADF" w:rsidP="00EA6ADF">
      <w:pPr>
        <w:pStyle w:val="ListNumber"/>
      </w:pPr>
      <w:r>
        <w:t>157</w:t>
      </w:r>
      <w:r w:rsidR="00796F7C">
        <w:t xml:space="preserve"> – answered in viva, no change necessary</w:t>
      </w:r>
    </w:p>
    <w:p w14:paraId="10546743" w14:textId="237E7287" w:rsidR="00EA6ADF" w:rsidRDefault="00EA6ADF" w:rsidP="00796F7C">
      <w:pPr>
        <w:pStyle w:val="ListNumber"/>
      </w:pPr>
      <w:r>
        <w:t>158</w:t>
      </w:r>
      <w:r w:rsidR="00796F7C">
        <w:t xml:space="preserve"> – answered in viva, no change necessary</w:t>
      </w:r>
    </w:p>
    <w:p w14:paraId="110A399A" w14:textId="4E482D35" w:rsidR="00EA6ADF" w:rsidRDefault="00EA6ADF" w:rsidP="00EA6ADF">
      <w:pPr>
        <w:pStyle w:val="ListNumber"/>
      </w:pPr>
      <w:r>
        <w:t>160</w:t>
      </w:r>
      <w:r w:rsidR="00796F7C">
        <w:t xml:space="preserve"> – changed “in around 2019-2020” to “in December 2019”</w:t>
      </w:r>
    </w:p>
    <w:p w14:paraId="50508EA1" w14:textId="09BAE19E" w:rsidR="00EA6ADF" w:rsidRDefault="00EA6ADF" w:rsidP="00EA6ADF">
      <w:pPr>
        <w:pStyle w:val="ListNumber"/>
      </w:pPr>
      <w:r>
        <w:t>161</w:t>
      </w:r>
      <w:r w:rsidR="003C481D">
        <w:t xml:space="preserve"> – changed RHS y-axis labels to same blue as the HS 501 line for clarity</w:t>
      </w:r>
    </w:p>
    <w:p w14:paraId="3D7C8D7B" w14:textId="727894B1" w:rsidR="00EA6ADF" w:rsidRPr="00A04884" w:rsidRDefault="00EA6ADF" w:rsidP="00EA6ADF">
      <w:pPr>
        <w:pStyle w:val="ListNumber"/>
      </w:pPr>
      <w:r w:rsidRPr="00A04884">
        <w:t>165</w:t>
      </w:r>
      <w:r w:rsidR="00A15C33" w:rsidRPr="00A04884">
        <w:t xml:space="preserve"> – added Bose </w:t>
      </w:r>
      <w:r w:rsidR="00A04884" w:rsidRPr="00A04884">
        <w:t xml:space="preserve">&amp; </w:t>
      </w:r>
      <w:proofErr w:type="spellStart"/>
      <w:r w:rsidR="00A04884" w:rsidRPr="00A04884">
        <w:t>Nagaraju</w:t>
      </w:r>
      <w:proofErr w:type="spellEnd"/>
      <w:r w:rsidR="00A04884" w:rsidRPr="00A04884">
        <w:t xml:space="preserve"> </w:t>
      </w:r>
      <w:r w:rsidR="00A15C33" w:rsidRPr="00A04884">
        <w:t>(2018) plot</w:t>
      </w:r>
    </w:p>
    <w:p w14:paraId="6E4C7D19" w14:textId="65EB873D" w:rsidR="00EA6ADF" w:rsidRDefault="00EA6ADF" w:rsidP="00EA6ADF">
      <w:pPr>
        <w:pStyle w:val="ListNumber"/>
      </w:pPr>
      <w:r>
        <w:t>166</w:t>
      </w:r>
      <w:r w:rsidR="003C481D">
        <w:t xml:space="preserve"> – changed “there regions” to “these regions”</w:t>
      </w:r>
    </w:p>
    <w:p w14:paraId="07682AFC" w14:textId="37E8B595" w:rsidR="00EA6ADF" w:rsidRDefault="00EA6ADF" w:rsidP="00EA6ADF">
      <w:pPr>
        <w:pStyle w:val="ListNumber"/>
      </w:pPr>
      <w:r>
        <w:t>168</w:t>
      </w:r>
      <w:r w:rsidR="003C481D">
        <w:t xml:space="preserve"> – changed “pertains” to “pertains to”</w:t>
      </w:r>
    </w:p>
    <w:p w14:paraId="758AE8BF" w14:textId="1D51D193" w:rsidR="003F12A6" w:rsidRDefault="003F12A6" w:rsidP="00EA6ADF">
      <w:pPr>
        <w:pStyle w:val="ListNumber"/>
      </w:pPr>
      <w:r>
        <w:t>190 – changed “asymmetric” to “symmetric”</w:t>
      </w:r>
    </w:p>
    <w:p w14:paraId="4245C59C" w14:textId="79A12FB7" w:rsidR="00EA6ADF" w:rsidRDefault="00EA6ADF" w:rsidP="00EA6ADF">
      <w:pPr>
        <w:pStyle w:val="ListNumber"/>
      </w:pPr>
      <w:r>
        <w:t>204</w:t>
      </w:r>
      <w:r w:rsidR="00B4188C">
        <w:t xml:space="preserve"> – added “Chapter 5”</w:t>
      </w:r>
      <w:r w:rsidR="00B17C19">
        <w:t>, and changed "both of the observation" to "both of the observations"</w:t>
      </w:r>
    </w:p>
    <w:p w14:paraId="09BAD721" w14:textId="17F651FC" w:rsidR="00EA6ADF" w:rsidRDefault="00EA6ADF" w:rsidP="00EA6ADF">
      <w:pPr>
        <w:pStyle w:val="ListNumber"/>
      </w:pPr>
      <w:r>
        <w:t>206</w:t>
      </w:r>
      <w:r w:rsidR="00B4188C">
        <w:t xml:space="preserve"> – added space in 31.7 </w:t>
      </w:r>
      <w:proofErr w:type="spellStart"/>
      <w:r w:rsidR="00B4188C">
        <w:t>nHz</w:t>
      </w:r>
      <w:proofErr w:type="spellEnd"/>
    </w:p>
    <w:p w14:paraId="5FDBBE37" w14:textId="217AB2B9" w:rsidR="00EA6ADF" w:rsidRDefault="00EA6ADF" w:rsidP="00EA6ADF">
      <w:pPr>
        <w:pStyle w:val="ListNumber"/>
      </w:pPr>
      <w:r>
        <w:t>217</w:t>
      </w:r>
      <w:r w:rsidR="00076E72">
        <w:t xml:space="preserve"> – changed "and is in agreement" to "and it is in agreement"</w:t>
      </w:r>
    </w:p>
    <w:p w14:paraId="0C1D2AC9" w14:textId="3A9F888A" w:rsidR="00EA6ADF" w:rsidRDefault="00EA6ADF" w:rsidP="00EA6ADF">
      <w:pPr>
        <w:pStyle w:val="ListNumber"/>
      </w:pPr>
      <w:r>
        <w:t>226</w:t>
      </w:r>
      <w:r w:rsidR="00A9779D">
        <w:t xml:space="preserve"> – changed /s to s^-1 as recommended</w:t>
      </w:r>
      <w:r w:rsidR="00BE17DA">
        <w:t>, and changed "spurious counts is of about" to "spurious counts is about"</w:t>
      </w:r>
    </w:p>
    <w:p w14:paraId="55FF1C96" w14:textId="388012AE" w:rsidR="00146130" w:rsidRDefault="00EA6ADF" w:rsidP="00EA6ADF">
      <w:pPr>
        <w:pStyle w:val="ListNumber"/>
      </w:pPr>
      <w:r>
        <w:t>237</w:t>
      </w:r>
      <w:r w:rsidR="00A9779D">
        <w:t xml:space="preserve"> – changed dot to </w:t>
      </w:r>
      <w:proofErr w:type="spellStart"/>
      <w:r w:rsidR="00A9779D">
        <w:t>cdot</w:t>
      </w:r>
      <w:proofErr w:type="spellEnd"/>
    </w:p>
    <w:p w14:paraId="36F88FD8"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 Technically the </w:t>
      </w:r>
      <w:proofErr w:type="gramStart"/>
      <w:r w:rsidRPr="007372EB">
        <w:rPr>
          <w:strike/>
        </w:rPr>
        <w:t>11 year</w:t>
      </w:r>
      <w:proofErr w:type="gramEnd"/>
      <w:r w:rsidRPr="007372EB">
        <w:rPr>
          <w:strike/>
        </w:rPr>
        <w:t xml:space="preserve"> cycle is known as the sunspot cycle, not the solar cycle, which you note later in the paragraph anyway. Re-word to make the distinction clear. </w:t>
      </w:r>
    </w:p>
    <w:p w14:paraId="78B313C7" w14:textId="77777777" w:rsidR="006F3104" w:rsidRDefault="006F3104" w:rsidP="006F3104">
      <w:pPr>
        <w:pStyle w:val="ListNumber"/>
        <w:numPr>
          <w:ilvl w:val="1"/>
          <w:numId w:val="14"/>
        </w:numPr>
      </w:pPr>
      <w:r>
        <w:t>– changed from “solar cycle” to “sunspot cycle”</w:t>
      </w:r>
    </w:p>
    <w:p w14:paraId="090AAFFC" w14:textId="77777777" w:rsidR="00EA6ADF" w:rsidRPr="007372EB" w:rsidRDefault="00EA6ADF" w:rsidP="00EA6ADF">
      <w:pPr>
        <w:pStyle w:val="ListNumber"/>
        <w:rPr>
          <w:strike/>
        </w:rPr>
      </w:pPr>
      <w:proofErr w:type="spellStart"/>
      <w:r w:rsidRPr="007372EB">
        <w:rPr>
          <w:strike/>
        </w:rPr>
        <w:t>Pg</w:t>
      </w:r>
      <w:proofErr w:type="spellEnd"/>
      <w:r w:rsidRPr="007372EB">
        <w:rPr>
          <w:strike/>
        </w:rPr>
        <w:t xml:space="preserve"> 10. Somewhere in the 10.7 cm flux section at the least can you add that the F10.7 value and SSN are strongly correlated. (you could add a plot of this, but it isn't necessary) </w:t>
      </w:r>
    </w:p>
    <w:p w14:paraId="7A0DFF3B" w14:textId="77777777" w:rsidR="0084654B" w:rsidRDefault="0084654B" w:rsidP="0084654B">
      <w:pPr>
        <w:pStyle w:val="ListNumber"/>
        <w:numPr>
          <w:ilvl w:val="1"/>
          <w:numId w:val="14"/>
        </w:numPr>
      </w:pPr>
      <w:r>
        <w:lastRenderedPageBreak/>
        <w:t>– changed to “The F10.7 value and SSN are strongly correlated. Therefore,”</w:t>
      </w:r>
    </w:p>
    <w:p w14:paraId="06056C7A" w14:textId="77777777" w:rsidR="00EA6ADF" w:rsidRPr="00AE57CB" w:rsidRDefault="00EA6ADF" w:rsidP="00EA6ADF">
      <w:pPr>
        <w:pStyle w:val="ListNumber"/>
        <w:rPr>
          <w:strike/>
        </w:rPr>
      </w:pPr>
      <w:proofErr w:type="spellStart"/>
      <w:r w:rsidRPr="00AE57CB">
        <w:rPr>
          <w:strike/>
        </w:rPr>
        <w:t>Pg</w:t>
      </w:r>
      <w:proofErr w:type="spellEnd"/>
      <w:r w:rsidRPr="00AE57CB">
        <w:rPr>
          <w:strike/>
        </w:rPr>
        <w:t xml:space="preserve"> 14. "largest documented space weather event" - this isn't quite true. It depends specifically on the specific 'type' of space weather event you are thinking about. The Carrington event is commonly referred to as the "largest" but this should be tightened up. See the </w:t>
      </w:r>
      <w:proofErr w:type="spellStart"/>
      <w:r w:rsidRPr="00AE57CB">
        <w:rPr>
          <w:strike/>
        </w:rPr>
        <w:t>Cliver</w:t>
      </w:r>
      <w:proofErr w:type="spellEnd"/>
      <w:r w:rsidRPr="00AE57CB">
        <w:rPr>
          <w:strike/>
        </w:rPr>
        <w:t xml:space="preserve"> &amp; </w:t>
      </w:r>
      <w:proofErr w:type="spellStart"/>
      <w:r w:rsidRPr="00AE57CB">
        <w:rPr>
          <w:strike/>
        </w:rPr>
        <w:t>Svalgaard</w:t>
      </w:r>
      <w:proofErr w:type="spellEnd"/>
      <w:r w:rsidRPr="00AE57CB">
        <w:rPr>
          <w:strike/>
        </w:rPr>
        <w:t xml:space="preserve"> 2004 paper about biggest events by type </w:t>
      </w:r>
    </w:p>
    <w:p w14:paraId="191F497B" w14:textId="77777777" w:rsidR="00EA6ADF" w:rsidRPr="00D26EE5" w:rsidRDefault="00EA6ADF" w:rsidP="00EA6ADF">
      <w:pPr>
        <w:pStyle w:val="ListNumber"/>
        <w:rPr>
          <w:strike/>
        </w:rPr>
      </w:pPr>
      <w:proofErr w:type="spellStart"/>
      <w:r w:rsidRPr="00D26EE5">
        <w:rPr>
          <w:strike/>
        </w:rPr>
        <w:t>Pg</w:t>
      </w:r>
      <w:proofErr w:type="spellEnd"/>
      <w:r w:rsidRPr="00D26EE5">
        <w:rPr>
          <w:strike/>
        </w:rPr>
        <w:t xml:space="preserve"> 15. Quite a lot of work has been done recently on improving the estimates of return time of a Carrington-like Event (even I have a paper on it!). </w:t>
      </w:r>
      <w:proofErr w:type="gramStart"/>
      <w:r w:rsidRPr="00D26EE5">
        <w:rPr>
          <w:strike/>
        </w:rPr>
        <w:t>Certainly</w:t>
      </w:r>
      <w:proofErr w:type="gramEnd"/>
      <w:r w:rsidRPr="00D26EE5">
        <w:rPr>
          <w:strike/>
        </w:rPr>
        <w:t xml:space="preserve"> we have improved the estimates from the </w:t>
      </w:r>
      <w:proofErr w:type="spellStart"/>
      <w:r w:rsidRPr="00D26EE5">
        <w:rPr>
          <w:strike/>
        </w:rPr>
        <w:t>RAEng</w:t>
      </w:r>
      <w:proofErr w:type="spellEnd"/>
      <w:r w:rsidRPr="00D26EE5">
        <w:rPr>
          <w:strike/>
        </w:rPr>
        <w:t xml:space="preserve"> Space Weather report (and have tightened the uncertainties). Please reference at least one of the </w:t>
      </w:r>
      <w:proofErr w:type="gramStart"/>
      <w:r w:rsidRPr="00D26EE5">
        <w:rPr>
          <w:strike/>
        </w:rPr>
        <w:t>more newer</w:t>
      </w:r>
      <w:proofErr w:type="gramEnd"/>
      <w:r w:rsidRPr="00D26EE5">
        <w:rPr>
          <w:strike/>
        </w:rPr>
        <w:t xml:space="preserve"> papers. </w:t>
      </w:r>
    </w:p>
    <w:p w14:paraId="6052C042" w14:textId="77777777" w:rsidR="00EA6ADF" w:rsidRPr="00D26EE5" w:rsidRDefault="00EA6ADF" w:rsidP="00EA6ADF">
      <w:pPr>
        <w:pStyle w:val="ListNumber"/>
        <w:rPr>
          <w:strike/>
        </w:rPr>
      </w:pPr>
      <w:proofErr w:type="spellStart"/>
      <w:r w:rsidRPr="00D26EE5">
        <w:rPr>
          <w:strike/>
        </w:rPr>
        <w:t>Pg</w:t>
      </w:r>
      <w:proofErr w:type="spellEnd"/>
      <w:r w:rsidRPr="00D26EE5">
        <w:rPr>
          <w:strike/>
        </w:rPr>
        <w:t xml:space="preserve"> 15. </w:t>
      </w:r>
      <w:proofErr w:type="gramStart"/>
      <w:r w:rsidRPr="00D26EE5">
        <w:rPr>
          <w:strike/>
        </w:rPr>
        <w:t>Likewise</w:t>
      </w:r>
      <w:proofErr w:type="gramEnd"/>
      <w:r w:rsidRPr="00D26EE5">
        <w:rPr>
          <w:strike/>
        </w:rPr>
        <w:t xml:space="preserve"> a recent paper by </w:t>
      </w:r>
      <w:proofErr w:type="spellStart"/>
      <w:r w:rsidRPr="00D26EE5">
        <w:rPr>
          <w:strike/>
        </w:rPr>
        <w:t>Hapgood</w:t>
      </w:r>
      <w:proofErr w:type="spellEnd"/>
      <w:r w:rsidRPr="00D26EE5">
        <w:rPr>
          <w:strike/>
        </w:rPr>
        <w:t xml:space="preserve"> et al. 2021 reviews the space weather preparedness of the UK specifically mentioning COVID-19 and highlighting our need to learn from it. </w:t>
      </w:r>
    </w:p>
    <w:p w14:paraId="61A6963E" w14:textId="77777777" w:rsidR="00EA6ADF" w:rsidRPr="00010FA5" w:rsidRDefault="00EA6ADF" w:rsidP="00EA6ADF">
      <w:pPr>
        <w:pStyle w:val="ListNumber"/>
        <w:rPr>
          <w:strike/>
        </w:rPr>
      </w:pPr>
      <w:proofErr w:type="spellStart"/>
      <w:r w:rsidRPr="00010FA5">
        <w:rPr>
          <w:strike/>
        </w:rPr>
        <w:t>Pg</w:t>
      </w:r>
      <w:proofErr w:type="spellEnd"/>
      <w:r w:rsidRPr="00010FA5">
        <w:rPr>
          <w:strike/>
        </w:rPr>
        <w:t xml:space="preserve"> 18. The early $2 Tn estimates of the impact of </w:t>
      </w:r>
      <w:proofErr w:type="spellStart"/>
      <w:r w:rsidRPr="00010FA5">
        <w:rPr>
          <w:strike/>
        </w:rPr>
        <w:t>SpWx</w:t>
      </w:r>
      <w:proofErr w:type="spellEnd"/>
      <w:r w:rsidRPr="00010FA5">
        <w:rPr>
          <w:strike/>
        </w:rPr>
        <w:t xml:space="preserve"> are now thought to be exaggerated values. Eastwood et al. 2017 provides newer values (with a UK focus). These should be used here instead. </w:t>
      </w:r>
    </w:p>
    <w:p w14:paraId="4EDEA270" w14:textId="77777777" w:rsidR="00EA6ADF" w:rsidRPr="00B80AB9" w:rsidRDefault="00EA6ADF" w:rsidP="00EA6ADF">
      <w:pPr>
        <w:pStyle w:val="ListNumber"/>
        <w:rPr>
          <w:strike/>
        </w:rPr>
      </w:pPr>
      <w:proofErr w:type="spellStart"/>
      <w:r w:rsidRPr="00B80AB9">
        <w:rPr>
          <w:strike/>
        </w:rPr>
        <w:t>Pg</w:t>
      </w:r>
      <w:proofErr w:type="spellEnd"/>
      <w:r w:rsidRPr="00B80AB9">
        <w:rPr>
          <w:strike/>
        </w:rPr>
        <w:t xml:space="preserve"> 19. "can even forbid lower energy GCRs from the inner" -&gt; "can prohibit lower energy GCRs from entering the inner" </w:t>
      </w:r>
    </w:p>
    <w:p w14:paraId="4E0A7B54" w14:textId="77777777" w:rsidR="00EA6ADF" w:rsidRPr="00C4165B" w:rsidRDefault="00EA6ADF" w:rsidP="00EA6ADF">
      <w:pPr>
        <w:pStyle w:val="ListNumber"/>
        <w:rPr>
          <w:strike/>
        </w:rPr>
      </w:pPr>
      <w:proofErr w:type="spellStart"/>
      <w:r w:rsidRPr="00C4165B">
        <w:rPr>
          <w:strike/>
        </w:rPr>
        <w:t>Pg</w:t>
      </w:r>
      <w:proofErr w:type="spellEnd"/>
      <w:r w:rsidRPr="00C4165B">
        <w:rPr>
          <w:strike/>
        </w:rPr>
        <w:t xml:space="preserve"> 20. Be consistent with a space after (or not) when using "~" </w:t>
      </w:r>
    </w:p>
    <w:p w14:paraId="032A1ACA" w14:textId="77777777" w:rsidR="00EA6ADF" w:rsidRPr="006603F6" w:rsidRDefault="00EA6ADF" w:rsidP="00837D2F">
      <w:pPr>
        <w:pStyle w:val="ListNumber"/>
        <w:rPr>
          <w:strike/>
        </w:rPr>
      </w:pPr>
      <w:proofErr w:type="spellStart"/>
      <w:r w:rsidRPr="006603F6">
        <w:rPr>
          <w:strike/>
        </w:rPr>
        <w:t>Pg</w:t>
      </w:r>
      <w:proofErr w:type="spellEnd"/>
      <w:r w:rsidRPr="006603F6">
        <w:rPr>
          <w:strike/>
        </w:rPr>
        <w:t xml:space="preserve"> 34. Please include some discussion on the impacts of GLEs (not 'physics' impacts, but 'real world' impacts). For </w:t>
      </w:r>
      <w:proofErr w:type="gramStart"/>
      <w:r w:rsidRPr="006603F6">
        <w:rPr>
          <w:strike/>
        </w:rPr>
        <w:t>example</w:t>
      </w:r>
      <w:proofErr w:type="gramEnd"/>
      <w:r w:rsidRPr="006603F6">
        <w:rPr>
          <w:strike/>
        </w:rPr>
        <w:t xml:space="preserve"> there was a paper by Hubert et al. in 2020 which discussed GLE impacts on avionics. This doesn't have to be on page 34, could be somewhere you think is more appropriate. </w:t>
      </w:r>
    </w:p>
    <w:p w14:paraId="01525FA0" w14:textId="77777777" w:rsidR="00EA6ADF" w:rsidRPr="009C09BD" w:rsidRDefault="00EA6ADF" w:rsidP="00EA6ADF">
      <w:pPr>
        <w:pStyle w:val="ListNumber"/>
        <w:rPr>
          <w:strike/>
        </w:rPr>
      </w:pPr>
      <w:proofErr w:type="spellStart"/>
      <w:r w:rsidRPr="009C09BD">
        <w:rPr>
          <w:strike/>
        </w:rPr>
        <w:lastRenderedPageBreak/>
        <w:t>Pg</w:t>
      </w:r>
      <w:proofErr w:type="spellEnd"/>
      <w:r w:rsidRPr="009C09BD">
        <w:rPr>
          <w:strike/>
        </w:rPr>
        <w:t xml:space="preserve"> 39. "400MHz and each PMTs" -&gt; "400MHz and each PMT" </w:t>
      </w:r>
    </w:p>
    <w:p w14:paraId="502B1EFF" w14:textId="77777777" w:rsidR="009C09BD" w:rsidRDefault="009C09BD" w:rsidP="009C09BD">
      <w:pPr>
        <w:pStyle w:val="ListNumber"/>
        <w:numPr>
          <w:ilvl w:val="1"/>
          <w:numId w:val="14"/>
        </w:numPr>
      </w:pPr>
      <w:r>
        <w:t>– changed “400MHz and each PMTs” to “400MHz and each PMT”</w:t>
      </w:r>
    </w:p>
    <w:p w14:paraId="2150EB02" w14:textId="77777777" w:rsidR="00EA6ADF" w:rsidRPr="00227F95" w:rsidRDefault="00EA6ADF" w:rsidP="00837D2F">
      <w:pPr>
        <w:pStyle w:val="ListNumber"/>
        <w:rPr>
          <w:strike/>
        </w:rPr>
      </w:pPr>
      <w:proofErr w:type="spellStart"/>
      <w:r w:rsidRPr="00227F95">
        <w:rPr>
          <w:strike/>
        </w:rPr>
        <w:t>Pg</w:t>
      </w:r>
      <w:proofErr w:type="spellEnd"/>
      <w:r w:rsidRPr="00227F95">
        <w:rPr>
          <w:strike/>
        </w:rPr>
        <w:t xml:space="preserve"> 51. A number of the events (GLEs or FDs) you list here are very well known </w:t>
      </w:r>
      <w:proofErr w:type="spellStart"/>
      <w:r w:rsidRPr="00227F95">
        <w:rPr>
          <w:strike/>
        </w:rPr>
        <w:t>SpWx</w:t>
      </w:r>
      <w:proofErr w:type="spellEnd"/>
      <w:r w:rsidRPr="00227F95">
        <w:rPr>
          <w:strike/>
        </w:rPr>
        <w:t xml:space="preserve"> events. I think a brief section describing the cause of the event would be helpful for wider context. </w:t>
      </w:r>
    </w:p>
    <w:p w14:paraId="3854724F" w14:textId="77777777" w:rsidR="00EA6ADF" w:rsidRPr="00EC0327" w:rsidRDefault="00EA6ADF" w:rsidP="00EC3103">
      <w:pPr>
        <w:pStyle w:val="ListNumber"/>
        <w:rPr>
          <w:strike/>
        </w:rPr>
      </w:pPr>
      <w:proofErr w:type="spellStart"/>
      <w:r w:rsidRPr="00EC0327">
        <w:rPr>
          <w:strike/>
        </w:rPr>
        <w:t>Pg</w:t>
      </w:r>
      <w:proofErr w:type="spellEnd"/>
      <w:r w:rsidRPr="00EC0327">
        <w:rPr>
          <w:strike/>
        </w:rPr>
        <w:t xml:space="preserve"> 69. I don't think in Section 2.5 that you demonstrate that the "excursions in the data" are from atmospheric variations - at least not explicitly. I think a little additional text is needed (in Sec 2.5) to make this clear. </w:t>
      </w:r>
    </w:p>
    <w:p w14:paraId="1AB21E96" w14:textId="77777777" w:rsidR="00EA6ADF" w:rsidRPr="00227F95" w:rsidRDefault="00EA6ADF" w:rsidP="007E074F">
      <w:pPr>
        <w:pStyle w:val="ListNumber"/>
        <w:rPr>
          <w:strike/>
        </w:rPr>
      </w:pPr>
      <w:proofErr w:type="spellStart"/>
      <w:r w:rsidRPr="00227F95">
        <w:rPr>
          <w:strike/>
        </w:rPr>
        <w:t>Pg</w:t>
      </w:r>
      <w:proofErr w:type="spellEnd"/>
      <w:r w:rsidRPr="00227F95">
        <w:rPr>
          <w:strike/>
        </w:rPr>
        <w:t xml:space="preserve"> 76. Here (and a few times in other locations) you highlight the GLE from Sept 1989 as being one that could be observed since it was a bigger event. Could you provide some comparison on the size of that event compared to the events you are looking at (e.g. GLE 71, 72). </w:t>
      </w:r>
    </w:p>
    <w:p w14:paraId="3E4C2AD2" w14:textId="77777777" w:rsidR="00EA6ADF" w:rsidRPr="003B6963" w:rsidRDefault="00EA6ADF" w:rsidP="00EA6ADF">
      <w:pPr>
        <w:pStyle w:val="ListNumber"/>
        <w:rPr>
          <w:strike/>
        </w:rPr>
      </w:pPr>
      <w:proofErr w:type="spellStart"/>
      <w:r w:rsidRPr="003B6963">
        <w:rPr>
          <w:strike/>
        </w:rPr>
        <w:t>Pg</w:t>
      </w:r>
      <w:proofErr w:type="spellEnd"/>
      <w:r w:rsidRPr="003B6963">
        <w:rPr>
          <w:strike/>
        </w:rPr>
        <w:t xml:space="preserve"> 84. Be consistent with the use of s-1 (on this page and later on) </w:t>
      </w:r>
    </w:p>
    <w:p w14:paraId="0B139B53" w14:textId="77777777" w:rsidR="00EA6ADF" w:rsidRPr="003B6963" w:rsidRDefault="00EA6ADF" w:rsidP="00DA12DE">
      <w:pPr>
        <w:pStyle w:val="ListNumber"/>
        <w:rPr>
          <w:strike/>
        </w:rPr>
      </w:pPr>
      <w:proofErr w:type="spellStart"/>
      <w:r w:rsidRPr="003B6963">
        <w:rPr>
          <w:strike/>
        </w:rPr>
        <w:t>Pg</w:t>
      </w:r>
      <w:proofErr w:type="spellEnd"/>
      <w:r w:rsidRPr="003B6963">
        <w:rPr>
          <w:strike/>
        </w:rPr>
        <w:t xml:space="preserve"> 107. I actually don't think it is now worth including this discussion in the thesis - but it is useful to know for anyone who does follow on work. There is a weather station on the roof of </w:t>
      </w:r>
      <w:proofErr w:type="spellStart"/>
      <w:r w:rsidRPr="003B6963">
        <w:rPr>
          <w:strike/>
        </w:rPr>
        <w:t>Gisbert</w:t>
      </w:r>
      <w:proofErr w:type="spellEnd"/>
      <w:r w:rsidRPr="003B6963">
        <w:rPr>
          <w:strike/>
        </w:rPr>
        <w:t xml:space="preserve"> Kapp which also measures pressure. Would it be more useful to use this observation since it is closer than the MIDAS site you used (link at eee-weather.bham.ac.uk/</w:t>
      </w:r>
      <w:proofErr w:type="spellStart"/>
      <w:r w:rsidRPr="003B6963">
        <w:rPr>
          <w:strike/>
        </w:rPr>
        <w:t>wx</w:t>
      </w:r>
      <w:proofErr w:type="spellEnd"/>
      <w:r w:rsidRPr="003B6963">
        <w:rPr>
          <w:strike/>
        </w:rPr>
        <w:t xml:space="preserve">) </w:t>
      </w:r>
    </w:p>
    <w:p w14:paraId="0A3A7B40" w14:textId="77777777" w:rsidR="00A640BC" w:rsidRPr="003B6963" w:rsidRDefault="00A640BC" w:rsidP="00A640BC">
      <w:pPr>
        <w:pStyle w:val="ListNumber"/>
        <w:rPr>
          <w:strike/>
        </w:rPr>
      </w:pPr>
      <w:proofErr w:type="spellStart"/>
      <w:r w:rsidRPr="003B6963">
        <w:rPr>
          <w:strike/>
        </w:rPr>
        <w:t>Pg</w:t>
      </w:r>
      <w:proofErr w:type="spellEnd"/>
      <w:r w:rsidRPr="003B6963">
        <w:rPr>
          <w:strike/>
        </w:rPr>
        <w:t xml:space="preserve"> 113. causation -&gt; causality </w:t>
      </w:r>
    </w:p>
    <w:p w14:paraId="0096ED4B" w14:textId="77777777" w:rsidR="00A640BC" w:rsidRPr="00225E63" w:rsidRDefault="00A640BC" w:rsidP="00A640BC">
      <w:pPr>
        <w:pStyle w:val="ListNumber"/>
        <w:rPr>
          <w:strike/>
        </w:rPr>
      </w:pPr>
      <w:proofErr w:type="spellStart"/>
      <w:r w:rsidRPr="00225E63">
        <w:rPr>
          <w:strike/>
        </w:rPr>
        <w:t>Pg</w:t>
      </w:r>
      <w:proofErr w:type="spellEnd"/>
      <w:r w:rsidRPr="00225E63">
        <w:rPr>
          <w:strike/>
        </w:rPr>
        <w:t xml:space="preserve"> 116. Fig 3.10 legend and caption inconsistent </w:t>
      </w:r>
    </w:p>
    <w:p w14:paraId="3919FBB6" w14:textId="77777777" w:rsidR="00A640BC" w:rsidRPr="00893CAD" w:rsidRDefault="00A640BC" w:rsidP="00A640BC">
      <w:pPr>
        <w:pStyle w:val="ListNumber"/>
        <w:rPr>
          <w:strike/>
        </w:rPr>
      </w:pPr>
      <w:proofErr w:type="spellStart"/>
      <w:r w:rsidRPr="00893CAD">
        <w:rPr>
          <w:strike/>
        </w:rPr>
        <w:t>Pg</w:t>
      </w:r>
      <w:proofErr w:type="spellEnd"/>
      <w:r w:rsidRPr="00893CAD">
        <w:rPr>
          <w:strike/>
        </w:rPr>
        <w:t xml:space="preserve"> 117. Fig 3.12 caption - split of pressure for a) and b) a bit clumsy </w:t>
      </w:r>
    </w:p>
    <w:p w14:paraId="34DA4811" w14:textId="77777777" w:rsidR="00A640BC" w:rsidRPr="003C481D" w:rsidRDefault="00A640BC" w:rsidP="001148FD">
      <w:pPr>
        <w:pStyle w:val="ListNumber"/>
        <w:rPr>
          <w:strike/>
        </w:rPr>
      </w:pPr>
      <w:proofErr w:type="spellStart"/>
      <w:r w:rsidRPr="003C481D">
        <w:rPr>
          <w:strike/>
        </w:rPr>
        <w:t>Pg</w:t>
      </w:r>
      <w:proofErr w:type="spellEnd"/>
      <w:r w:rsidRPr="003C481D">
        <w:rPr>
          <w:strike/>
        </w:rPr>
        <w:t xml:space="preserve"> 128. I think the notation used here is not very clear. Might be easier (and then much clearer) just to use a few words to describe exactly what you mean. </w:t>
      </w:r>
    </w:p>
    <w:p w14:paraId="350B760A" w14:textId="77777777" w:rsidR="00A640BC" w:rsidRPr="009F0CAF" w:rsidRDefault="00A640BC" w:rsidP="00D12339">
      <w:pPr>
        <w:pStyle w:val="ListNumber"/>
        <w:rPr>
          <w:highlight w:val="yellow"/>
        </w:rPr>
      </w:pPr>
      <w:proofErr w:type="spellStart"/>
      <w:r w:rsidRPr="009F0CAF">
        <w:rPr>
          <w:highlight w:val="yellow"/>
        </w:rPr>
        <w:lastRenderedPageBreak/>
        <w:t>Pg</w:t>
      </w:r>
      <w:proofErr w:type="spellEnd"/>
      <w:r w:rsidRPr="009F0CAF">
        <w:rPr>
          <w:highlight w:val="yellow"/>
        </w:rPr>
        <w:t xml:space="preserve"> 130. You </w:t>
      </w:r>
      <w:proofErr w:type="gramStart"/>
      <w:r w:rsidRPr="009F0CAF">
        <w:rPr>
          <w:highlight w:val="yellow"/>
        </w:rPr>
        <w:t>make reference</w:t>
      </w:r>
      <w:proofErr w:type="gramEnd"/>
      <w:r w:rsidRPr="009F0CAF">
        <w:rPr>
          <w:highlight w:val="yellow"/>
        </w:rPr>
        <w:t xml:space="preserve"> to (a) that you did study the 7.5% and 10% cases and then mention your "complete analysis" I would like to see (at least one) result(s) from the 7.5% or 10% case. This could be added to Fig 3.20, or even just in a Table. </w:t>
      </w:r>
    </w:p>
    <w:p w14:paraId="13BC2A83" w14:textId="77777777" w:rsidR="00A640BC" w:rsidRPr="00EC0327" w:rsidRDefault="00A640BC" w:rsidP="008D2D8F">
      <w:pPr>
        <w:pStyle w:val="ListNumber"/>
        <w:rPr>
          <w:strike/>
        </w:rPr>
      </w:pPr>
      <w:proofErr w:type="spellStart"/>
      <w:r w:rsidRPr="00EC0327">
        <w:rPr>
          <w:strike/>
        </w:rPr>
        <w:t>Pg</w:t>
      </w:r>
      <w:proofErr w:type="spellEnd"/>
      <w:r w:rsidRPr="00EC0327">
        <w:rPr>
          <w:strike/>
        </w:rPr>
        <w:t xml:space="preserve"> 134. I'm not sure exactly what you mean by "an exasperation of statistical fluctuations" - some additional text needed here. </w:t>
      </w:r>
    </w:p>
    <w:p w14:paraId="34B7A501" w14:textId="77777777" w:rsidR="00A640BC" w:rsidRPr="00F023F6" w:rsidRDefault="00A640BC" w:rsidP="00424E31">
      <w:pPr>
        <w:pStyle w:val="ListNumber"/>
        <w:rPr>
          <w:strike/>
        </w:rPr>
      </w:pPr>
      <w:proofErr w:type="spellStart"/>
      <w:r w:rsidRPr="00F023F6">
        <w:rPr>
          <w:strike/>
        </w:rPr>
        <w:t>Pg</w:t>
      </w:r>
      <w:proofErr w:type="spellEnd"/>
      <w:r w:rsidRPr="00F023F6">
        <w:rPr>
          <w:strike/>
        </w:rPr>
        <w:t xml:space="preserve"> 165. Figure 2 from the Bose &amp; </w:t>
      </w:r>
      <w:proofErr w:type="spellStart"/>
      <w:r w:rsidRPr="00F023F6">
        <w:rPr>
          <w:strike/>
        </w:rPr>
        <w:t>Nagaraju</w:t>
      </w:r>
      <w:proofErr w:type="spellEnd"/>
      <w:r w:rsidRPr="00F023F6">
        <w:rPr>
          <w:strike/>
        </w:rPr>
        <w:t xml:space="preserve"> (2018) paper should be included here and then it would be much easier to follow what you are describing. </w:t>
      </w:r>
    </w:p>
    <w:p w14:paraId="0441E0CC" w14:textId="77777777" w:rsidR="00A640BC" w:rsidRPr="003C481D" w:rsidRDefault="00A640BC" w:rsidP="00A640BC">
      <w:pPr>
        <w:pStyle w:val="ListNumber"/>
        <w:rPr>
          <w:strike/>
        </w:rPr>
      </w:pPr>
      <w:proofErr w:type="spellStart"/>
      <w:r w:rsidRPr="003C481D">
        <w:rPr>
          <w:strike/>
        </w:rPr>
        <w:t>Pg</w:t>
      </w:r>
      <w:proofErr w:type="spellEnd"/>
      <w:r w:rsidRPr="003C481D">
        <w:rPr>
          <w:strike/>
        </w:rPr>
        <w:t xml:space="preserve"> 166. there -&gt; these (regions) </w:t>
      </w:r>
    </w:p>
    <w:p w14:paraId="6E59A5E2" w14:textId="77777777" w:rsidR="00A640BC" w:rsidRPr="00B17C19" w:rsidRDefault="00A640BC" w:rsidP="00A640BC">
      <w:pPr>
        <w:pStyle w:val="ListNumber"/>
        <w:rPr>
          <w:strike/>
        </w:rPr>
      </w:pPr>
      <w:proofErr w:type="spellStart"/>
      <w:r w:rsidRPr="00B17C19">
        <w:rPr>
          <w:strike/>
        </w:rPr>
        <w:t>Pg</w:t>
      </w:r>
      <w:proofErr w:type="spellEnd"/>
      <w:r w:rsidRPr="00B17C19">
        <w:rPr>
          <w:strike/>
        </w:rPr>
        <w:t xml:space="preserve"> 168. pertains -&gt; pertains to </w:t>
      </w:r>
    </w:p>
    <w:p w14:paraId="003DBCA7"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204. "both of the observation" -&gt; "both of the observations" </w:t>
      </w:r>
    </w:p>
    <w:p w14:paraId="5B7AF55C" w14:textId="77777777" w:rsidR="00A640BC" w:rsidRPr="00076E72" w:rsidRDefault="00A640BC" w:rsidP="00A640BC">
      <w:pPr>
        <w:pStyle w:val="ListNumber"/>
        <w:rPr>
          <w:strike/>
        </w:rPr>
      </w:pPr>
      <w:proofErr w:type="spellStart"/>
      <w:r w:rsidRPr="00076E72">
        <w:rPr>
          <w:strike/>
        </w:rPr>
        <w:t>Pg</w:t>
      </w:r>
      <w:proofErr w:type="spellEnd"/>
      <w:r w:rsidRPr="00076E72">
        <w:rPr>
          <w:strike/>
        </w:rPr>
        <w:t xml:space="preserve"> 217. "and is in agreement" -&gt; "and it is in agreement" </w:t>
      </w:r>
    </w:p>
    <w:p w14:paraId="1723A816" w14:textId="77777777" w:rsidR="00A640BC" w:rsidRPr="00BE17DA" w:rsidRDefault="00A640BC" w:rsidP="00A640BC">
      <w:pPr>
        <w:pStyle w:val="ListNumber"/>
        <w:rPr>
          <w:strike/>
        </w:rPr>
      </w:pPr>
      <w:proofErr w:type="spellStart"/>
      <w:r w:rsidRPr="00BE17DA">
        <w:rPr>
          <w:strike/>
        </w:rPr>
        <w:t>Pg</w:t>
      </w:r>
      <w:proofErr w:type="spellEnd"/>
      <w:r w:rsidRPr="00BE17DA">
        <w:rPr>
          <w:strike/>
        </w:rPr>
        <w:t xml:space="preserve"> 226. "spurious counts is of about" -&gt; "spurious counts is about" </w:t>
      </w:r>
    </w:p>
    <w:p w14:paraId="4DF417CD" w14:textId="2BCB22E7" w:rsidR="00146130" w:rsidRDefault="00146130">
      <w:pPr>
        <w:pStyle w:val="Heading2"/>
      </w:pPr>
      <w:bookmarkStart w:id="0" w:name="_GoBack"/>
      <w:bookmarkEnd w:id="0"/>
    </w:p>
    <w:sectPr w:rsidR="00146130">
      <w:headerReference w:type="even" r:id="rId7"/>
      <w:headerReference w:type="default" r:id="rId8"/>
      <w:footerReference w:type="even" r:id="rId9"/>
      <w:footerReference w:type="default" r:id="rId10"/>
      <w:headerReference w:type="first" r:id="rId11"/>
      <w:footerReference w:type="first" r:id="rId12"/>
      <w:pgSz w:w="12240" w:h="15840"/>
      <w:pgMar w:top="1152"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58FCB6" w14:textId="77777777" w:rsidR="009B3EB4" w:rsidRDefault="009B3EB4">
      <w:pPr>
        <w:spacing w:after="0" w:line="240" w:lineRule="auto"/>
      </w:pPr>
      <w:r>
        <w:separator/>
      </w:r>
    </w:p>
    <w:p w14:paraId="0AE3B999" w14:textId="77777777" w:rsidR="009B3EB4" w:rsidRDefault="009B3EB4"/>
    <w:p w14:paraId="5D53D023" w14:textId="77777777" w:rsidR="009B3EB4" w:rsidRDefault="009B3EB4"/>
  </w:endnote>
  <w:endnote w:type="continuationSeparator" w:id="0">
    <w:p w14:paraId="7A270449" w14:textId="77777777" w:rsidR="009B3EB4" w:rsidRDefault="009B3EB4">
      <w:pPr>
        <w:spacing w:after="0" w:line="240" w:lineRule="auto"/>
      </w:pPr>
      <w:r>
        <w:continuationSeparator/>
      </w:r>
    </w:p>
    <w:p w14:paraId="45DC6206" w14:textId="77777777" w:rsidR="009B3EB4" w:rsidRDefault="009B3EB4"/>
    <w:p w14:paraId="32A9639C" w14:textId="77777777" w:rsidR="009B3EB4" w:rsidRDefault="009B3E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B9BC2" w14:textId="77777777" w:rsidR="00146130" w:rsidRDefault="001461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815352"/>
      <w:docPartObj>
        <w:docPartGallery w:val="Page Numbers (Bottom of Page)"/>
        <w:docPartUnique/>
      </w:docPartObj>
    </w:sdtPr>
    <w:sdtEndPr>
      <w:rPr>
        <w:noProof/>
      </w:rPr>
    </w:sdtEndPr>
    <w:sdtContent>
      <w:p w14:paraId="7C83BD21" w14:textId="77777777" w:rsidR="00146130" w:rsidRDefault="00783244">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E1940" w14:textId="77777777" w:rsidR="00146130" w:rsidRDefault="001461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D93E6D" w14:textId="77777777" w:rsidR="009B3EB4" w:rsidRDefault="009B3EB4">
      <w:pPr>
        <w:spacing w:after="0" w:line="240" w:lineRule="auto"/>
      </w:pPr>
      <w:r>
        <w:separator/>
      </w:r>
    </w:p>
    <w:p w14:paraId="193CA208" w14:textId="77777777" w:rsidR="009B3EB4" w:rsidRDefault="009B3EB4"/>
    <w:p w14:paraId="4620DCDB" w14:textId="77777777" w:rsidR="009B3EB4" w:rsidRDefault="009B3EB4"/>
  </w:footnote>
  <w:footnote w:type="continuationSeparator" w:id="0">
    <w:p w14:paraId="37372246" w14:textId="77777777" w:rsidR="009B3EB4" w:rsidRDefault="009B3EB4">
      <w:pPr>
        <w:spacing w:after="0" w:line="240" w:lineRule="auto"/>
      </w:pPr>
      <w:r>
        <w:continuationSeparator/>
      </w:r>
    </w:p>
    <w:p w14:paraId="592A9AA4" w14:textId="77777777" w:rsidR="009B3EB4" w:rsidRDefault="009B3EB4"/>
    <w:p w14:paraId="527B5CCB" w14:textId="77777777" w:rsidR="009B3EB4" w:rsidRDefault="009B3E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69482" w14:textId="77777777" w:rsidR="00146130" w:rsidRDefault="001461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674DC" w14:textId="77777777" w:rsidR="00146130" w:rsidRDefault="001461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182C4" w14:textId="77777777" w:rsidR="00146130" w:rsidRDefault="001461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AB8A8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E8E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44E5CF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725E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23A55B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E2E5C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020DE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ABEA92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E62011C"/>
    <w:lvl w:ilvl="0">
      <w:start w:val="1"/>
      <w:numFmt w:val="decimal"/>
      <w:lvlText w:val="%1."/>
      <w:lvlJc w:val="left"/>
      <w:pPr>
        <w:tabs>
          <w:tab w:val="num" w:pos="360"/>
        </w:tabs>
        <w:ind w:left="360" w:hanging="360"/>
      </w:pPr>
      <w:rPr>
        <w:rFonts w:hint="default"/>
        <w:b/>
        <w:i w:val="0"/>
      </w:rPr>
    </w:lvl>
  </w:abstractNum>
  <w:abstractNum w:abstractNumId="9" w15:restartNumberingAfterBreak="0">
    <w:nsid w:val="FFFFFF89"/>
    <w:multiLevelType w:val="singleLevel"/>
    <w:tmpl w:val="71E4D62E"/>
    <w:lvl w:ilvl="0">
      <w:start w:val="1"/>
      <w:numFmt w:val="bullet"/>
      <w:lvlText w:val=""/>
      <w:lvlJc w:val="left"/>
      <w:pPr>
        <w:tabs>
          <w:tab w:val="num" w:pos="432"/>
        </w:tabs>
        <w:ind w:left="432" w:hanging="432"/>
      </w:pPr>
      <w:rPr>
        <w:rFonts w:ascii="Symbol" w:hAnsi="Symbol" w:hint="default"/>
      </w:rPr>
    </w:lvl>
  </w:abstractNum>
  <w:abstractNum w:abstractNumId="10" w15:restartNumberingAfterBreak="0">
    <w:nsid w:val="26DA33D1"/>
    <w:multiLevelType w:val="hybridMultilevel"/>
    <w:tmpl w:val="9F16C02E"/>
    <w:lvl w:ilvl="0" w:tplc="2D128166">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1B1C5A"/>
    <w:multiLevelType w:val="hybridMultilevel"/>
    <w:tmpl w:val="A3127486"/>
    <w:lvl w:ilvl="0" w:tplc="A96E589A">
      <w:start w:val="1"/>
      <w:numFmt w:val="decimal"/>
      <w:pStyle w:val="ListNumber"/>
      <w:lvlText w:val="%1."/>
      <w:lvlJc w:val="left"/>
      <w:pPr>
        <w:tabs>
          <w:tab w:val="num" w:pos="432"/>
        </w:tabs>
        <w:ind w:left="432" w:hanging="432"/>
      </w:pPr>
      <w:rPr>
        <w:rFonts w:hint="default"/>
        <w:b/>
        <w:i w:val="0"/>
        <w:color w:val="266CBF" w:themeColor="accen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1"/>
  </w:num>
  <w:num w:numId="12">
    <w:abstractNumId w:val="9"/>
    <w:lvlOverride w:ilvl="0">
      <w:startOverride w:val="1"/>
    </w:lvlOverride>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ADF"/>
    <w:rsid w:val="00010FA5"/>
    <w:rsid w:val="00065C01"/>
    <w:rsid w:val="00076E72"/>
    <w:rsid w:val="0008511A"/>
    <w:rsid w:val="00146130"/>
    <w:rsid w:val="00163797"/>
    <w:rsid w:val="0019669B"/>
    <w:rsid w:val="0020611C"/>
    <w:rsid w:val="00225E63"/>
    <w:rsid w:val="00227F95"/>
    <w:rsid w:val="002D01F4"/>
    <w:rsid w:val="00343B81"/>
    <w:rsid w:val="00377514"/>
    <w:rsid w:val="003B6963"/>
    <w:rsid w:val="003C481D"/>
    <w:rsid w:val="003E28D1"/>
    <w:rsid w:val="003F12A6"/>
    <w:rsid w:val="00521706"/>
    <w:rsid w:val="0053447F"/>
    <w:rsid w:val="00563841"/>
    <w:rsid w:val="00564E68"/>
    <w:rsid w:val="00570A54"/>
    <w:rsid w:val="005A71B3"/>
    <w:rsid w:val="005D7459"/>
    <w:rsid w:val="006112DD"/>
    <w:rsid w:val="006603F6"/>
    <w:rsid w:val="00674A40"/>
    <w:rsid w:val="00675A2F"/>
    <w:rsid w:val="006F3104"/>
    <w:rsid w:val="006F3B34"/>
    <w:rsid w:val="007372EB"/>
    <w:rsid w:val="00770D21"/>
    <w:rsid w:val="00783244"/>
    <w:rsid w:val="00796F7C"/>
    <w:rsid w:val="00837D2F"/>
    <w:rsid w:val="0084654B"/>
    <w:rsid w:val="00884129"/>
    <w:rsid w:val="00893CAD"/>
    <w:rsid w:val="008C7032"/>
    <w:rsid w:val="008E30D5"/>
    <w:rsid w:val="00962660"/>
    <w:rsid w:val="00986296"/>
    <w:rsid w:val="00993761"/>
    <w:rsid w:val="009B3EB4"/>
    <w:rsid w:val="009C09BD"/>
    <w:rsid w:val="009F0CAF"/>
    <w:rsid w:val="00A04884"/>
    <w:rsid w:val="00A15C33"/>
    <w:rsid w:val="00A22DF2"/>
    <w:rsid w:val="00A640BC"/>
    <w:rsid w:val="00A9779D"/>
    <w:rsid w:val="00AE57CB"/>
    <w:rsid w:val="00AF21F1"/>
    <w:rsid w:val="00B17C19"/>
    <w:rsid w:val="00B4188C"/>
    <w:rsid w:val="00B80AB9"/>
    <w:rsid w:val="00BA7BD4"/>
    <w:rsid w:val="00BB1BBA"/>
    <w:rsid w:val="00BE17DA"/>
    <w:rsid w:val="00BF4AC1"/>
    <w:rsid w:val="00BF69CA"/>
    <w:rsid w:val="00C17B56"/>
    <w:rsid w:val="00C4165B"/>
    <w:rsid w:val="00CE7FC2"/>
    <w:rsid w:val="00D26EE5"/>
    <w:rsid w:val="00D3456D"/>
    <w:rsid w:val="00DA1CFD"/>
    <w:rsid w:val="00E717AB"/>
    <w:rsid w:val="00EA6ADF"/>
    <w:rsid w:val="00EC0327"/>
    <w:rsid w:val="00EE6F83"/>
    <w:rsid w:val="00F00836"/>
    <w:rsid w:val="00F023F6"/>
    <w:rsid w:val="00F32D98"/>
    <w:rsid w:val="00F41D99"/>
    <w:rsid w:val="00FF0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50571"/>
  <w15:chartTrackingRefBased/>
  <w15:docId w15:val="{71DF154C-2F59-AA46-9498-E16FEF00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8"/>
        <w:szCs w:val="28"/>
        <w:lang w:val="en-US" w:eastAsia="ja-JP" w:bidi="ar-SA"/>
      </w:rPr>
    </w:rPrDefault>
    <w:pPrDefault>
      <w:pPr>
        <w:spacing w:after="12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outlineLvl w:val="0"/>
    </w:pPr>
    <w:rPr>
      <w:rFonts w:asciiTheme="majorHAnsi" w:eastAsiaTheme="majorEastAsia" w:hAnsiTheme="majorHAnsi" w:cstheme="majorBidi"/>
      <w:b/>
      <w:color w:val="266CBF" w:themeColor="accent1"/>
      <w:sz w:val="46"/>
      <w:szCs w:val="32"/>
    </w:rPr>
  </w:style>
  <w:style w:type="paragraph" w:styleId="Heading2">
    <w:name w:val="heading 2"/>
    <w:basedOn w:val="Normal"/>
    <w:next w:val="Normal"/>
    <w:link w:val="Heading2Char"/>
    <w:uiPriority w:val="9"/>
    <w:unhideWhenUsed/>
    <w:qFormat/>
    <w:pPr>
      <w:keepNext/>
      <w:keepLines/>
      <w:spacing w:before="3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360"/>
      <w:outlineLvl w:val="2"/>
    </w:pPr>
    <w:rPr>
      <w:rFonts w:asciiTheme="majorHAnsi" w:eastAsiaTheme="majorEastAsia" w:hAnsiTheme="majorHAnsi" w:cstheme="majorBidi"/>
      <w:color w:val="266CBF" w:themeColor="accent1"/>
      <w:sz w:val="34"/>
      <w:szCs w:val="24"/>
    </w:rPr>
  </w:style>
  <w:style w:type="paragraph" w:styleId="Heading4">
    <w:name w:val="heading 4"/>
    <w:basedOn w:val="Normal"/>
    <w:next w:val="Normal"/>
    <w:link w:val="Heading4Char"/>
    <w:uiPriority w:val="9"/>
    <w:semiHidden/>
    <w:unhideWhenUsed/>
    <w:qFormat/>
    <w:pPr>
      <w:keepNext/>
      <w:keepLines/>
      <w:spacing w:before="360"/>
      <w:outlineLvl w:val="3"/>
    </w:pPr>
    <w:rPr>
      <w:rFonts w:asciiTheme="majorHAnsi" w:eastAsiaTheme="majorEastAsia" w:hAnsiTheme="majorHAnsi" w:cstheme="majorBidi"/>
      <w:i/>
      <w:iCs/>
      <w:color w:val="266CBF" w:themeColor="accent1"/>
      <w:sz w:val="34"/>
    </w:rPr>
  </w:style>
  <w:style w:type="paragraph" w:styleId="Heading5">
    <w:name w:val="heading 5"/>
    <w:basedOn w:val="Normal"/>
    <w:next w:val="Normal"/>
    <w:link w:val="Heading5Char"/>
    <w:uiPriority w:val="9"/>
    <w:semiHidden/>
    <w:unhideWhenUsed/>
    <w:qFormat/>
    <w:pPr>
      <w:keepNext/>
      <w:keepLines/>
      <w:spacing w:before="360"/>
      <w:outlineLvl w:val="4"/>
    </w:pPr>
    <w:rPr>
      <w:rFonts w:asciiTheme="majorHAnsi" w:eastAsiaTheme="majorEastAsia" w:hAnsiTheme="majorHAnsi" w:cstheme="majorBidi"/>
      <w:b/>
      <w:color w:val="266CBF" w:themeColor="accent1"/>
    </w:rPr>
  </w:style>
  <w:style w:type="paragraph" w:styleId="Heading6">
    <w:name w:val="heading 6"/>
    <w:basedOn w:val="Normal"/>
    <w:next w:val="Normal"/>
    <w:link w:val="Heading6Char"/>
    <w:uiPriority w:val="9"/>
    <w:semiHidden/>
    <w:unhideWhenUsed/>
    <w:qFormat/>
    <w:pPr>
      <w:keepNext/>
      <w:keepLines/>
      <w:spacing w:before="360"/>
      <w:outlineLvl w:val="5"/>
    </w:pPr>
    <w:rPr>
      <w:rFonts w:asciiTheme="majorHAnsi" w:eastAsiaTheme="majorEastAsia" w:hAnsiTheme="majorHAnsi" w:cstheme="majorBidi"/>
      <w:b/>
      <w:i/>
      <w:color w:val="266CBF" w:themeColor="accent1"/>
    </w:rPr>
  </w:style>
  <w:style w:type="paragraph" w:styleId="Heading7">
    <w:name w:val="heading 7"/>
    <w:basedOn w:val="Normal"/>
    <w:next w:val="Normal"/>
    <w:link w:val="Heading7Char"/>
    <w:uiPriority w:val="9"/>
    <w:semiHidden/>
    <w:unhideWhenUsed/>
    <w:qFormat/>
    <w:pPr>
      <w:keepNext/>
      <w:keepLines/>
      <w:spacing w:before="36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9"/>
    <w:semiHidden/>
    <w:unhideWhenUsed/>
    <w:qFormat/>
    <w:pPr>
      <w:keepNext/>
      <w:keepLines/>
      <w:spacing w:before="3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36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after="0" w:line="240" w:lineRule="auto"/>
    </w:pPr>
  </w:style>
  <w:style w:type="paragraph" w:styleId="Title">
    <w:name w:val="Title"/>
    <w:basedOn w:val="Normal"/>
    <w:link w:val="TitleChar"/>
    <w:uiPriority w:val="10"/>
    <w:semiHidden/>
    <w:unhideWhenUsed/>
    <w:pPr>
      <w:spacing w:after="0" w:line="240" w:lineRule="auto"/>
      <w:contextualSpacing/>
    </w:pPr>
    <w:rPr>
      <w:rFonts w:asciiTheme="majorHAnsi" w:eastAsiaTheme="majorEastAsia" w:hAnsiTheme="majorHAnsi" w:cstheme="majorBidi"/>
      <w:b/>
      <w:color w:val="266CBF" w:themeColor="accent1"/>
      <w:kern w:val="28"/>
      <w:sz w:val="9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266CBF" w:themeColor="accent1"/>
      <w:sz w:val="46"/>
      <w:szCs w:val="32"/>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ListBullet">
    <w:name w:val="List Bullet"/>
    <w:basedOn w:val="Normal"/>
    <w:uiPriority w:val="10"/>
    <w:qFormat/>
    <w:pPr>
      <w:numPr>
        <w:numId w:val="13"/>
      </w:numPr>
    </w:pPr>
  </w:style>
  <w:style w:type="paragraph" w:styleId="Subtitle">
    <w:name w:val="Subtitle"/>
    <w:basedOn w:val="Normal"/>
    <w:link w:val="SubtitleChar"/>
    <w:uiPriority w:val="11"/>
    <w:semiHidden/>
    <w:unhideWhenUsed/>
    <w:qFormat/>
    <w:pPr>
      <w:numPr>
        <w:ilvl w:val="1"/>
      </w:numPr>
      <w:spacing w:after="480" w:line="240" w:lineRule="auto"/>
      <w:contextualSpacing/>
    </w:pPr>
    <w:rPr>
      <w:rFonts w:eastAsiaTheme="minorEastAsia"/>
      <w:sz w:val="34"/>
      <w:szCs w:val="22"/>
    </w:rPr>
  </w:style>
  <w:style w:type="character" w:customStyle="1" w:styleId="SubtitleChar">
    <w:name w:val="Subtitle Char"/>
    <w:basedOn w:val="DefaultParagraphFont"/>
    <w:link w:val="Subtitle"/>
    <w:uiPriority w:val="11"/>
    <w:semiHidden/>
    <w:rPr>
      <w:rFonts w:eastAsiaTheme="minorEastAsia"/>
      <w:sz w:val="34"/>
      <w:szCs w:val="22"/>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66CBF" w:themeColor="accent1"/>
      <w:sz w:val="3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6CBF" w:themeColor="accent1"/>
      <w:sz w:val="3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6CBF"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266CBF" w:themeColor="accent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Cs w:val="21"/>
    </w:rPr>
  </w:style>
  <w:style w:type="character" w:styleId="SubtleEmphasis">
    <w:name w:val="Subtle Emphasis"/>
    <w:basedOn w:val="DefaultParagraphFont"/>
    <w:uiPriority w:val="19"/>
    <w:semiHidden/>
    <w:unhideWhenUsed/>
    <w:qFormat/>
    <w:rPr>
      <w:i/>
      <w:iCs/>
      <w:color w:val="595959" w:themeColor="text1" w:themeTint="A6"/>
    </w:rPr>
  </w:style>
  <w:style w:type="character" w:styleId="Emphasis">
    <w:name w:val="Emphasis"/>
    <w:basedOn w:val="DefaultParagraphFont"/>
    <w:uiPriority w:val="20"/>
    <w:semiHidden/>
    <w:unhideWhenUsed/>
    <w:qFormat/>
    <w:rPr>
      <w:b/>
      <w:iCs/>
    </w:rPr>
  </w:style>
  <w:style w:type="character" w:styleId="IntenseEmphasis">
    <w:name w:val="Intense Emphasis"/>
    <w:basedOn w:val="DefaultParagraphFont"/>
    <w:uiPriority w:val="21"/>
    <w:semiHidden/>
    <w:unhideWhenUsed/>
    <w:qFormat/>
    <w:rPr>
      <w:i/>
      <w:iCs/>
      <w:color w:val="266CBF" w:themeColor="accent1"/>
    </w:rPr>
  </w:style>
  <w:style w:type="character" w:styleId="Strong">
    <w:name w:val="Strong"/>
    <w:basedOn w:val="DefaultParagraphFont"/>
    <w:uiPriority w:val="22"/>
    <w:semiHidden/>
    <w:unhideWhenUsed/>
    <w:qFormat/>
    <w:rPr>
      <w:b/>
      <w:bCs/>
      <w:i/>
      <w:color w:val="266CBF" w:themeColor="accent1"/>
    </w:rPr>
  </w:style>
  <w:style w:type="paragraph" w:styleId="Quote">
    <w:name w:val="Quote"/>
    <w:basedOn w:val="Normal"/>
    <w:next w:val="Normal"/>
    <w:link w:val="QuoteChar"/>
    <w:uiPriority w:val="29"/>
    <w:semiHidden/>
    <w:unhideWhenUsed/>
    <w:qFormat/>
    <w:pPr>
      <w:spacing w:before="240" w:after="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after="240"/>
    </w:pPr>
    <w:rPr>
      <w:b/>
      <w:i/>
      <w:iCs/>
      <w:color w:val="266CBF" w:themeColor="accent1"/>
      <w:sz w:val="36"/>
    </w:rPr>
  </w:style>
  <w:style w:type="character" w:customStyle="1" w:styleId="IntenseQuoteChar">
    <w:name w:val="Intense Quote Char"/>
    <w:basedOn w:val="DefaultParagraphFont"/>
    <w:link w:val="IntenseQuote"/>
    <w:uiPriority w:val="30"/>
    <w:semiHidden/>
    <w:rPr>
      <w:b/>
      <w:i/>
      <w:iCs/>
      <w:color w:val="266CBF" w:themeColor="accent1"/>
      <w:sz w:val="36"/>
    </w:rPr>
  </w:style>
  <w:style w:type="character" w:styleId="SubtleReference">
    <w:name w:val="Subtle Reference"/>
    <w:basedOn w:val="DefaultParagraphFont"/>
    <w:uiPriority w:val="31"/>
    <w:semiHidden/>
    <w:unhideWhenUsed/>
    <w:qFormat/>
    <w:rPr>
      <w:caps/>
      <w:smallCaps w:val="0"/>
      <w:color w:val="595959" w:themeColor="text1" w:themeTint="A6"/>
    </w:rPr>
  </w:style>
  <w:style w:type="character" w:styleId="IntenseReference">
    <w:name w:val="Intense Reference"/>
    <w:basedOn w:val="DefaultParagraphFont"/>
    <w:uiPriority w:val="32"/>
    <w:semiHidden/>
    <w:unhideWhenUsed/>
    <w:qFormat/>
    <w:rPr>
      <w:b/>
      <w:bCs/>
      <w:caps/>
      <w:smallCaps w:val="0"/>
      <w:color w:val="595959" w:themeColor="text1" w:themeTint="A6"/>
      <w:spacing w:val="0"/>
    </w:rPr>
  </w:style>
  <w:style w:type="character" w:styleId="BookTitle">
    <w:name w:val="Book Title"/>
    <w:basedOn w:val="DefaultParagraphFont"/>
    <w:uiPriority w:val="33"/>
    <w:semiHidden/>
    <w:unhideWhenUsed/>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4"/>
      <w:szCs w:val="18"/>
    </w:r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semiHidden/>
    <w:unhideWhenUsed/>
    <w:qFormat/>
    <w:pPr>
      <w:outlineLvl w:val="9"/>
    </w:pPr>
  </w:style>
  <w:style w:type="paragraph" w:styleId="ListNumber">
    <w:name w:val="List Number"/>
    <w:basedOn w:val="Normal"/>
    <w:uiPriority w:val="10"/>
    <w:unhideWhenUsed/>
    <w:qFormat/>
    <w:pPr>
      <w:numPr>
        <w:numId w:val="14"/>
      </w:numPr>
    </w:pPr>
  </w:style>
  <w:style w:type="character" w:customStyle="1" w:styleId="TitleChar">
    <w:name w:val="Title Char"/>
    <w:basedOn w:val="DefaultParagraphFont"/>
    <w:link w:val="Title"/>
    <w:uiPriority w:val="10"/>
    <w:semiHidden/>
    <w:rPr>
      <w:rFonts w:asciiTheme="majorHAnsi" w:eastAsiaTheme="majorEastAsia" w:hAnsiTheme="majorHAnsi" w:cstheme="majorBidi"/>
      <w:b/>
      <w:color w:val="266CBF" w:themeColor="accent1"/>
      <w:kern w:val="28"/>
      <w:sz w:val="90"/>
      <w:szCs w:val="56"/>
    </w:rPr>
  </w:style>
  <w:style w:type="character" w:styleId="Hyperlink">
    <w:name w:val="Hyperlink"/>
    <w:basedOn w:val="DefaultParagraphFont"/>
    <w:uiPriority w:val="99"/>
    <w:unhideWhenUsed/>
    <w:rPr>
      <w:color w:val="266CB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3541">
      <w:bodyDiv w:val="1"/>
      <w:marLeft w:val="0"/>
      <w:marRight w:val="0"/>
      <w:marTop w:val="0"/>
      <w:marBottom w:val="0"/>
      <w:divBdr>
        <w:top w:val="none" w:sz="0" w:space="0" w:color="auto"/>
        <w:left w:val="none" w:sz="0" w:space="0" w:color="auto"/>
        <w:bottom w:val="none" w:sz="0" w:space="0" w:color="auto"/>
        <w:right w:val="none" w:sz="0" w:space="0" w:color="auto"/>
      </w:divBdr>
      <w:divsChild>
        <w:div w:id="334770914">
          <w:marLeft w:val="0"/>
          <w:marRight w:val="0"/>
          <w:marTop w:val="0"/>
          <w:marBottom w:val="0"/>
          <w:divBdr>
            <w:top w:val="none" w:sz="0" w:space="0" w:color="auto"/>
            <w:left w:val="none" w:sz="0" w:space="0" w:color="auto"/>
            <w:bottom w:val="none" w:sz="0" w:space="0" w:color="auto"/>
            <w:right w:val="none" w:sz="0" w:space="0" w:color="auto"/>
          </w:divBdr>
          <w:divsChild>
            <w:div w:id="708728905">
              <w:marLeft w:val="0"/>
              <w:marRight w:val="0"/>
              <w:marTop w:val="0"/>
              <w:marBottom w:val="0"/>
              <w:divBdr>
                <w:top w:val="none" w:sz="0" w:space="0" w:color="auto"/>
                <w:left w:val="none" w:sz="0" w:space="0" w:color="auto"/>
                <w:bottom w:val="none" w:sz="0" w:space="0" w:color="auto"/>
                <w:right w:val="none" w:sz="0" w:space="0" w:color="auto"/>
              </w:divBdr>
              <w:divsChild>
                <w:div w:id="240410245">
                  <w:marLeft w:val="0"/>
                  <w:marRight w:val="0"/>
                  <w:marTop w:val="0"/>
                  <w:marBottom w:val="0"/>
                  <w:divBdr>
                    <w:top w:val="none" w:sz="0" w:space="0" w:color="auto"/>
                    <w:left w:val="none" w:sz="0" w:space="0" w:color="auto"/>
                    <w:bottom w:val="none" w:sz="0" w:space="0" w:color="auto"/>
                    <w:right w:val="none" w:sz="0" w:space="0" w:color="auto"/>
                  </w:divBdr>
                  <w:divsChild>
                    <w:div w:id="9921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9172165">
      <w:bodyDiv w:val="1"/>
      <w:marLeft w:val="0"/>
      <w:marRight w:val="0"/>
      <w:marTop w:val="0"/>
      <w:marBottom w:val="0"/>
      <w:divBdr>
        <w:top w:val="none" w:sz="0" w:space="0" w:color="auto"/>
        <w:left w:val="none" w:sz="0" w:space="0" w:color="auto"/>
        <w:bottom w:val="none" w:sz="0" w:space="0" w:color="auto"/>
        <w:right w:val="none" w:sz="0" w:space="0" w:color="auto"/>
      </w:divBdr>
      <w:divsChild>
        <w:div w:id="1736853153">
          <w:marLeft w:val="0"/>
          <w:marRight w:val="0"/>
          <w:marTop w:val="0"/>
          <w:marBottom w:val="0"/>
          <w:divBdr>
            <w:top w:val="none" w:sz="0" w:space="0" w:color="auto"/>
            <w:left w:val="none" w:sz="0" w:space="0" w:color="auto"/>
            <w:bottom w:val="none" w:sz="0" w:space="0" w:color="auto"/>
            <w:right w:val="none" w:sz="0" w:space="0" w:color="auto"/>
          </w:divBdr>
          <w:divsChild>
            <w:div w:id="1873499021">
              <w:marLeft w:val="0"/>
              <w:marRight w:val="0"/>
              <w:marTop w:val="0"/>
              <w:marBottom w:val="0"/>
              <w:divBdr>
                <w:top w:val="none" w:sz="0" w:space="0" w:color="auto"/>
                <w:left w:val="none" w:sz="0" w:space="0" w:color="auto"/>
                <w:bottom w:val="none" w:sz="0" w:space="0" w:color="auto"/>
                <w:right w:val="none" w:sz="0" w:space="0" w:color="auto"/>
              </w:divBdr>
              <w:divsChild>
                <w:div w:id="1903560674">
                  <w:marLeft w:val="0"/>
                  <w:marRight w:val="0"/>
                  <w:marTop w:val="0"/>
                  <w:marBottom w:val="0"/>
                  <w:divBdr>
                    <w:top w:val="none" w:sz="0" w:space="0" w:color="auto"/>
                    <w:left w:val="none" w:sz="0" w:space="0" w:color="auto"/>
                    <w:bottom w:val="none" w:sz="0" w:space="0" w:color="auto"/>
                    <w:right w:val="none" w:sz="0" w:space="0" w:color="auto"/>
                  </w:divBdr>
                  <w:divsChild>
                    <w:div w:id="141920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503054">
      <w:bodyDiv w:val="1"/>
      <w:marLeft w:val="0"/>
      <w:marRight w:val="0"/>
      <w:marTop w:val="0"/>
      <w:marBottom w:val="0"/>
      <w:divBdr>
        <w:top w:val="none" w:sz="0" w:space="0" w:color="auto"/>
        <w:left w:val="none" w:sz="0" w:space="0" w:color="auto"/>
        <w:bottom w:val="none" w:sz="0" w:space="0" w:color="auto"/>
        <w:right w:val="none" w:sz="0" w:space="0" w:color="auto"/>
      </w:divBdr>
      <w:divsChild>
        <w:div w:id="1669214697">
          <w:marLeft w:val="0"/>
          <w:marRight w:val="0"/>
          <w:marTop w:val="0"/>
          <w:marBottom w:val="0"/>
          <w:divBdr>
            <w:top w:val="none" w:sz="0" w:space="0" w:color="auto"/>
            <w:left w:val="none" w:sz="0" w:space="0" w:color="auto"/>
            <w:bottom w:val="none" w:sz="0" w:space="0" w:color="auto"/>
            <w:right w:val="none" w:sz="0" w:space="0" w:color="auto"/>
          </w:divBdr>
          <w:divsChild>
            <w:div w:id="1824807434">
              <w:marLeft w:val="0"/>
              <w:marRight w:val="0"/>
              <w:marTop w:val="0"/>
              <w:marBottom w:val="0"/>
              <w:divBdr>
                <w:top w:val="none" w:sz="0" w:space="0" w:color="auto"/>
                <w:left w:val="none" w:sz="0" w:space="0" w:color="auto"/>
                <w:bottom w:val="none" w:sz="0" w:space="0" w:color="auto"/>
                <w:right w:val="none" w:sz="0" w:space="0" w:color="auto"/>
              </w:divBdr>
              <w:divsChild>
                <w:div w:id="1715807247">
                  <w:marLeft w:val="0"/>
                  <w:marRight w:val="0"/>
                  <w:marTop w:val="0"/>
                  <w:marBottom w:val="0"/>
                  <w:divBdr>
                    <w:top w:val="none" w:sz="0" w:space="0" w:color="auto"/>
                    <w:left w:val="none" w:sz="0" w:space="0" w:color="auto"/>
                    <w:bottom w:val="none" w:sz="0" w:space="0" w:color="auto"/>
                    <w:right w:val="none" w:sz="0" w:space="0" w:color="auto"/>
                  </w:divBdr>
                  <w:divsChild>
                    <w:div w:id="1471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ddieross/Library/Containers/com.microsoft.Word/Data/Library/Application%20Support/Microsoft/Office/16.0/DTS/en-US%7b684BEA7B-29B3-B54B-BF47-06549428E77E%7d/%7bEA4276D6-C0CF-1E43-8E75-5A85DEA1006E%7dtf10002083.dotx" TargetMode="External"/></Relationships>
</file>

<file path=word/theme/theme1.xml><?xml version="1.0" encoding="utf-8"?>
<a:theme xmlns:a="http://schemas.openxmlformats.org/drawingml/2006/main" name="Office Theme">
  <a:themeElements>
    <a:clrScheme name="Make a List">
      <a:dk1>
        <a:sysClr val="windowText" lastClr="000000"/>
      </a:dk1>
      <a:lt1>
        <a:sysClr val="window" lastClr="FFFFFF"/>
      </a:lt1>
      <a:dk2>
        <a:srgbClr val="081424"/>
      </a:dk2>
      <a:lt2>
        <a:srgbClr val="EBEBEB"/>
      </a:lt2>
      <a:accent1>
        <a:srgbClr val="266CBF"/>
      </a:accent1>
      <a:accent2>
        <a:srgbClr val="EF8271"/>
      </a:accent2>
      <a:accent3>
        <a:srgbClr val="5DB372"/>
      </a:accent3>
      <a:accent4>
        <a:srgbClr val="E5C34E"/>
      </a:accent4>
      <a:accent5>
        <a:srgbClr val="F18846"/>
      </a:accent5>
      <a:accent6>
        <a:srgbClr val="8956A5"/>
      </a:accent6>
      <a:hlink>
        <a:srgbClr val="266CBF"/>
      </a:hlink>
      <a:folHlink>
        <a:srgbClr val="8956A5"/>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{EA4276D6-C0CF-1E43-8E75-5A85DEA1006E}tf10002083.dotx</Template>
  <TotalTime>90</TotalTime>
  <Pages>8</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Eddie Ross (PhD Phys + Astronomy FT)</cp:lastModifiedBy>
  <cp:revision>44</cp:revision>
  <dcterms:created xsi:type="dcterms:W3CDTF">2021-06-01T14:20:00Z</dcterms:created>
  <dcterms:modified xsi:type="dcterms:W3CDTF">2021-06-19T13:51:00Z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TF10002046</vt:lpwstr>
  </property>
</Properties>
</file>