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1.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Introduction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Solar Activity/Cycles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Solar Mean Magnetic Field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Cosmic Rays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Space Weather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2.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 Usability for space weather/activity 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Autospacing="1" w:after="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Introduction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Properties</w:t>
      </w:r>
    </w:p>
    <w:p>
      <w:pPr>
        <w:pStyle w:val="NormalWeb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Air shower simulation (CORSIKA)</w:t>
      </w:r>
    </w:p>
    <w:p>
      <w:pPr>
        <w:pStyle w:val="NormalWeb"/>
        <w:widowControl/>
        <w:numPr>
          <w:ilvl w:val="1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footprints</w:t>
      </w:r>
    </w:p>
    <w:p>
      <w:pPr>
        <w:pStyle w:val="NormalWeb"/>
        <w:widowControl/>
        <w:numPr>
          <w:ilvl w:val="1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flux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Standardization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Pressure Temperature Correction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 for events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&amp;singles data on 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activity/GLEs/F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Autospacing="1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3.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 14008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Set-up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Calibration/testing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Observations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g.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4.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GCR in Cycle 24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Methods/data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5.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SMMF sources (where does r-mode stuff fit?)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Methods/data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 (both simulations and modelling observation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6.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</w:t>
      </w:r>
    </w:p>
    <w:p>
      <w:pPr>
        <w:pStyle w:val="Normal"/>
        <w:keepNext w:val="false"/>
        <w:keepLines w:val="false"/>
        <w:widowControl/>
        <w:spacing w:beforeAutospacing="1" w:afterAutospacing="1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</w:t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tbl>
      <w:tblPr>
        <w:tblW w:w="39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1299"/>
      </w:tblGrid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GCR lag in solar cycle 24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Solar cycle 24 is not special</w:t>
            </w:r>
          </w:p>
        </w:tc>
      </w:tr>
      <w:tr>
        <w:trPr>
          <w:trHeight w:val="320" w:hRule="atLeast"/>
        </w:trPr>
        <w:tc>
          <w:tcPr>
            <w:tcW w:w="3899" w:type="dxa"/>
            <w:gridSpan w:val="2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GCR hysteresis in solar cycle 24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AR lifetimes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is attributed to Ars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r-modes visibility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standardisation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is useful for space weather and solar activity monitoring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14008 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observations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162</Words>
  <Characters>870</Characters>
  <CharactersWithSpaces>1115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2020-02-20T11:38:00Z</dcterms:created>
  <dc:creator>exr007</dc:creator>
  <dc:description/>
  <dc:language>en-GB</dc:language>
  <cp:lastModifiedBy/>
  <dcterms:modified xsi:type="dcterms:W3CDTF">2020-03-24T15:30:49Z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