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Крутая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параша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/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Alex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Шеф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alesha, Проффесоро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 xml:space="preserve"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202411111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КРУТОЙ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patrick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usu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параша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со среды до пятницы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скрипта для оформления заказа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страницы с корзиной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Заполнение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страницы каталога товаров(меню) с бэкэндом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Шеф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pi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Крутую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/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 xml:space="preserve"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параша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со среды до пятницы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Проффесоро, alesha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Шеф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Alex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patrick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patrick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pi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 xml:space="preserve"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со среды до пятницы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Крутую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/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 xml:space="preserve"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чехова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скрипта для оформления заказа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страницы с корзиной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Заполнение бд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страницы каталога товаров(меню) с бэкэндом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бд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пунктуальность, отзывчивость, вежливость, тактичность.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с небольшими затруднениями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безнадёжно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 xml:space="preserve"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просто крутяк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хорошо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Alex, Шеф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