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с 22 апреля 2024 года по 26 апреля 2024 года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уникальный логотип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все страницы и стилизовать их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Реализовать авторизацию и регистрацию аккаунтов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Создать crud на странице с каталогом для менеджера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02/05/2024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Подкорректировать отображение страницы корзины и страницы заказов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>с 22 апреля 2024 года по 26 апреля 2024 года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>с 22 апреля 2024 года по 26 апреля 2024 года</w:t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>Чехова 16</w:t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уникальный логотип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все страницы и стилизовать их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Реализовать авторизацию и регистрацию аккаунтов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Создать crud на странице с каталогом для менеджера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Подкорректировать отображение страницы корзины и страницы заказов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ответственность, заинтересованность, отзывчивость, тактичность.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легко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безупречно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 xml:space="preserve"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Всё хорошо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отлично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