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1121б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Маслакова Юрия Алексеевича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Маслаков Юрий Алексеевич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1121б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c 2024-05-10 по 2024-05-24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уникальный логотип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все страницы и стилизовать их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авторизацию и регистрацию аккаунтов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crud на странице с каталогом для менеджера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Подкорректировать отображение страницы корзины и страницы заказов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Информатика и вычислительная техника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Маслакову Юрию Алексеевичу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1121б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c 2024-05-10 по 2024-05-24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Маслаков Юрий Алексеевич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Маслаков Юрий Алексеевич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1121б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Информатика и вычислительная техника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c 2024-05-10 по 2024-05-24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уникальный логотип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все страницы и стилизовать их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авторизацию и регистрацию аккаунтов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crud на странице с каталогом для менеджера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Подкорректировать отображение страницы корзины и страницы заказов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{{STUDENT_QUALITIES}}.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{{PROBLEM_SOLVING_SPEED}}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{{STUDENT_ASSESSMENT}}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