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F9" w:rsidRDefault="004867F9" w:rsidP="004867F9">
      <w:pPr>
        <w:keepNext/>
        <w:ind w:right="200"/>
        <w:jc w:val="left"/>
        <w:outlineLvl w:val="2"/>
        <w:rPr>
          <w:rFonts w:asciiTheme="majorHAnsi" w:eastAsiaTheme="majorEastAsia" w:hAnsiTheme="majorHAnsi" w:cstheme="majorBidi" w:hint="eastAsia"/>
          <w:b/>
        </w:rPr>
      </w:pPr>
      <w:r w:rsidRPr="004867F9">
        <w:rPr>
          <w:rFonts w:asciiTheme="majorHAnsi" w:eastAsiaTheme="majorEastAsia" w:hAnsiTheme="majorHAnsi" w:cstheme="majorBidi" w:hint="eastAsia"/>
          <w:b/>
          <w:color w:val="FF0000"/>
          <w:highlight w:val="yellow"/>
        </w:rPr>
        <w:t>&lt;수정&gt;</w:t>
      </w:r>
      <w:r w:rsidRPr="004867F9">
        <w:rPr>
          <w:rFonts w:asciiTheme="majorHAnsi" w:eastAsiaTheme="majorEastAsia" w:hAnsiTheme="majorHAnsi" w:cstheme="majorBidi" w:hint="eastAsia"/>
          <w:b/>
          <w:color w:val="FF0000"/>
        </w:rPr>
        <w:t xml:space="preserve"> </w:t>
      </w:r>
      <w:r>
        <w:rPr>
          <w:rFonts w:asciiTheme="majorHAnsi" w:eastAsiaTheme="majorEastAsia" w:hAnsiTheme="majorHAnsi" w:cstheme="majorBidi" w:hint="eastAsia"/>
          <w:b/>
        </w:rPr>
        <w:t>11페이지 중간제목 이후부터 시사점 이전까지 전체 교체</w:t>
      </w:r>
    </w:p>
    <w:p w:rsidR="009213A2" w:rsidRPr="009213A2" w:rsidRDefault="009213A2" w:rsidP="009213A2">
      <w:pPr>
        <w:keepNext/>
        <w:ind w:left="600" w:right="200" w:hanging="400"/>
        <w:jc w:val="left"/>
        <w:outlineLvl w:val="2"/>
        <w:rPr>
          <w:rFonts w:asciiTheme="majorHAnsi" w:eastAsiaTheme="majorEastAsia" w:hAnsiTheme="majorHAnsi" w:cstheme="majorBidi"/>
          <w:b/>
        </w:rPr>
      </w:pPr>
      <w:r w:rsidRPr="009213A2">
        <w:rPr>
          <w:rFonts w:asciiTheme="majorHAnsi" w:eastAsiaTheme="majorEastAsia" w:hAnsiTheme="majorHAnsi" w:cstheme="majorBidi" w:hint="eastAsia"/>
          <w:b/>
        </w:rPr>
        <w:t>중산층이 인공지능에 의한 자동화 영향에 더 크게 영향을 받을 전망</w:t>
      </w:r>
    </w:p>
    <w:p w:rsidR="009213A2" w:rsidRDefault="009213A2" w:rsidP="009213A2">
      <w:pPr>
        <w:jc w:val="left"/>
        <w:rPr>
          <w:rFonts w:hint="eastAsia"/>
        </w:rPr>
      </w:pPr>
      <w:r w:rsidRPr="009213A2">
        <w:rPr>
          <w:rFonts w:hint="eastAsia"/>
        </w:rPr>
        <w:t>교육이나 소득 수준 측면으로 나누어 볼 경</w:t>
      </w:r>
      <w:bookmarkStart w:id="0" w:name="_GoBack"/>
      <w:bookmarkEnd w:id="0"/>
      <w:r w:rsidRPr="009213A2">
        <w:rPr>
          <w:rFonts w:hint="eastAsia"/>
        </w:rPr>
        <w:t xml:space="preserve">우 </w:t>
      </w:r>
      <w:r>
        <w:rPr>
          <w:rFonts w:hint="eastAsia"/>
        </w:rPr>
        <w:t>중위계</w:t>
      </w:r>
      <w:r w:rsidRPr="009213A2">
        <w:rPr>
          <w:rFonts w:hint="eastAsia"/>
        </w:rPr>
        <w:t xml:space="preserve">층의 고위험군 비중이 높은 것으로 나타난 것도 </w:t>
      </w:r>
      <w:r>
        <w:rPr>
          <w:rFonts w:hint="eastAsia"/>
        </w:rPr>
        <w:t>주목할 만한 점이다</w:t>
      </w:r>
      <w:r w:rsidRPr="009213A2">
        <w:rPr>
          <w:rFonts w:hint="eastAsia"/>
        </w:rPr>
        <w:t>. 교육 수준별</w:t>
      </w:r>
      <w:r>
        <w:rPr>
          <w:rFonts w:hint="eastAsia"/>
        </w:rPr>
        <w:t xml:space="preserve"> 고위험군 비중은</w:t>
      </w:r>
      <w:r w:rsidRPr="009213A2">
        <w:rPr>
          <w:rFonts w:hint="eastAsia"/>
        </w:rPr>
        <w:t xml:space="preserve"> 고졸 46%</w:t>
      </w:r>
      <w:r>
        <w:rPr>
          <w:rFonts w:hint="eastAsia"/>
        </w:rPr>
        <w:t xml:space="preserve">, 전문대졸 44%, 대졸 37% 순으로 높게 나타났다. 학력별로 직업 분포를 살펴보면, 고졸~대졸에 3대 </w:t>
      </w:r>
      <w:proofErr w:type="spellStart"/>
      <w:r>
        <w:rPr>
          <w:rFonts w:hint="eastAsia"/>
        </w:rPr>
        <w:t>리스크</w:t>
      </w:r>
      <w:proofErr w:type="spellEnd"/>
      <w:r>
        <w:rPr>
          <w:rFonts w:hint="eastAsia"/>
        </w:rPr>
        <w:t xml:space="preserve"> 직종의 비중이 45% 이상으로 높게 나타난다. 반면 학력이 낮아질수록 농림어업 </w:t>
      </w:r>
      <w:proofErr w:type="spellStart"/>
      <w:r>
        <w:rPr>
          <w:rFonts w:hint="eastAsia"/>
        </w:rPr>
        <w:t>숙련직과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단순노무직의</w:t>
      </w:r>
      <w:proofErr w:type="spellEnd"/>
      <w:r>
        <w:rPr>
          <w:rFonts w:hint="eastAsia"/>
        </w:rPr>
        <w:t xml:space="preserve"> 비중이 높은 것으로 나타났으며, 학력이 높을수록 관리자와 전문직의 비중이 비례하여 높은 것으로 나타났다.</w:t>
      </w:r>
    </w:p>
    <w:p w:rsidR="009213A2" w:rsidRPr="009213A2" w:rsidRDefault="009213A2" w:rsidP="009213A2">
      <w:pPr>
        <w:jc w:val="left"/>
      </w:pPr>
      <w:r w:rsidRPr="009213A2">
        <w:rPr>
          <w:rFonts w:hint="eastAsia"/>
        </w:rPr>
        <w:t xml:space="preserve"> </w:t>
      </w:r>
    </w:p>
    <w:p w:rsidR="009213A2" w:rsidRPr="009213A2" w:rsidRDefault="009213A2" w:rsidP="009213A2">
      <w:pPr>
        <w:jc w:val="center"/>
      </w:pPr>
      <w:r w:rsidRPr="009213A2">
        <w:rPr>
          <w:rFonts w:hint="eastAsia"/>
          <w:b/>
        </w:rPr>
        <w:t>그림</w:t>
      </w:r>
      <w:r w:rsidRPr="009213A2">
        <w:rPr>
          <w:b/>
        </w:rPr>
        <w:t>1</w:t>
      </w:r>
      <w:r>
        <w:rPr>
          <w:rFonts w:hint="eastAsia"/>
          <w:b/>
        </w:rPr>
        <w:t>1</w:t>
      </w:r>
      <w:r w:rsidRPr="009213A2">
        <w:rPr>
          <w:b/>
        </w:rPr>
        <w:t>. 교육수준별 고위험</w:t>
      </w:r>
      <w:r>
        <w:rPr>
          <w:rFonts w:hint="eastAsia"/>
          <w:b/>
        </w:rPr>
        <w:t>군 비중</w:t>
      </w:r>
    </w:p>
    <w:p w:rsidR="009213A2" w:rsidRDefault="009213A2" w:rsidP="009213A2">
      <w:pPr>
        <w:rPr>
          <w:rFonts w:hint="eastAsia"/>
        </w:rPr>
      </w:pPr>
      <w:r w:rsidRPr="009213A2">
        <w:rPr>
          <w:noProof/>
        </w:rPr>
        <w:drawing>
          <wp:inline distT="0" distB="0" distL="0" distR="0" wp14:anchorId="1BE765E0" wp14:editId="173C0511">
            <wp:extent cx="2526880" cy="13906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89" cy="1397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13A2" w:rsidRPr="008A2E0A" w:rsidRDefault="008A2E0A" w:rsidP="008A2E0A">
      <w:pPr>
        <w:jc w:val="center"/>
        <w:rPr>
          <w:rFonts w:hint="eastAsia"/>
          <w:b/>
        </w:rPr>
      </w:pPr>
      <w:r w:rsidRPr="008A2E0A">
        <w:rPr>
          <w:rFonts w:hint="eastAsia"/>
          <w:b/>
          <w:color w:val="FF0000"/>
          <w:highlight w:val="yellow"/>
        </w:rPr>
        <w:t>&lt;</w:t>
      </w:r>
      <w:r>
        <w:rPr>
          <w:rFonts w:hint="eastAsia"/>
          <w:b/>
          <w:color w:val="FF0000"/>
          <w:highlight w:val="yellow"/>
        </w:rPr>
        <w:t>추가</w:t>
      </w:r>
      <w:r w:rsidRPr="008A2E0A">
        <w:rPr>
          <w:rFonts w:hint="eastAsia"/>
          <w:b/>
          <w:color w:val="FF0000"/>
          <w:highlight w:val="yellow"/>
        </w:rPr>
        <w:t>&gt;</w:t>
      </w:r>
      <w:r w:rsidRPr="008A2E0A">
        <w:rPr>
          <w:rFonts w:hint="eastAsia"/>
          <w:b/>
          <w:color w:val="FF0000"/>
        </w:rPr>
        <w:t xml:space="preserve"> </w:t>
      </w:r>
      <w:r w:rsidRPr="008A2E0A">
        <w:rPr>
          <w:rFonts w:hint="eastAsia"/>
          <w:b/>
        </w:rPr>
        <w:t>그림</w:t>
      </w:r>
      <w:r w:rsidRPr="008A2E0A">
        <w:rPr>
          <w:b/>
        </w:rPr>
        <w:t>12. 학력별 직업 분포</w:t>
      </w:r>
      <w:r>
        <w:rPr>
          <w:rFonts w:hint="eastAsia"/>
          <w:b/>
        </w:rPr>
        <w:t xml:space="preserve"> &lt;수정&gt;</w:t>
      </w:r>
    </w:p>
    <w:p w:rsidR="009213A2" w:rsidRPr="009213A2" w:rsidRDefault="009213A2" w:rsidP="009213A2">
      <w:r w:rsidRPr="009213A2">
        <w:drawing>
          <wp:inline distT="0" distB="0" distL="0" distR="0" wp14:anchorId="2C383220" wp14:editId="02E7CA5F">
            <wp:extent cx="5731510" cy="3151718"/>
            <wp:effectExtent l="0" t="0" r="21590" b="10795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213A2" w:rsidRPr="009213A2" w:rsidRDefault="009213A2" w:rsidP="009213A2">
      <w:pPr>
        <w:jc w:val="left"/>
      </w:pPr>
    </w:p>
    <w:p w:rsidR="009213A2" w:rsidRPr="009213A2" w:rsidRDefault="009213A2" w:rsidP="009213A2">
      <w:pPr>
        <w:jc w:val="left"/>
      </w:pPr>
      <w:r w:rsidRPr="009213A2">
        <w:rPr>
          <w:rFonts w:hint="eastAsia"/>
        </w:rPr>
        <w:lastRenderedPageBreak/>
        <w:t>소득 수준별로도 중간 소득 수준의 고위험군 비중이 상대적으로 높</w:t>
      </w:r>
      <w:r>
        <w:rPr>
          <w:rFonts w:hint="eastAsia"/>
        </w:rPr>
        <w:t>게</w:t>
      </w:r>
      <w:r w:rsidRPr="009213A2">
        <w:rPr>
          <w:rFonts w:hint="eastAsia"/>
        </w:rPr>
        <w:t xml:space="preserve"> 나타났다. 월평균 소득 수준이 200~300만원인 취업자의 고위험군 비중이 가장 높</w:t>
      </w:r>
      <w:r w:rsidR="008A2E0A">
        <w:rPr>
          <w:rFonts w:hint="eastAsia"/>
        </w:rPr>
        <w:t xml:space="preserve">았다. 200~300만원을 기점으로 소득이 낮거나 높은 경우 모두 </w:t>
      </w:r>
      <w:r w:rsidRPr="009213A2">
        <w:rPr>
          <w:rFonts w:hint="eastAsia"/>
        </w:rPr>
        <w:t xml:space="preserve">고위험군 비중이 낮아지는 것으로 나타났다. </w:t>
      </w:r>
      <w:r w:rsidR="008A2E0A">
        <w:rPr>
          <w:rFonts w:hint="eastAsia"/>
        </w:rPr>
        <w:t xml:space="preserve">소득수준별 직업 분포도 학력수준별 직업 분포의 패턴과 유사하다. 고위험군 비중이 높았던 중간소득에서 3대 </w:t>
      </w:r>
      <w:proofErr w:type="spellStart"/>
      <w:r w:rsidR="008A2E0A">
        <w:rPr>
          <w:rFonts w:hint="eastAsia"/>
        </w:rPr>
        <w:t>리스크</w:t>
      </w:r>
      <w:proofErr w:type="spellEnd"/>
      <w:r w:rsidR="008A2E0A">
        <w:rPr>
          <w:rFonts w:hint="eastAsia"/>
        </w:rPr>
        <w:t xml:space="preserve"> 직업의 비중이 약 50%에 육박하며 높은 것으로 나타났다. 반면, 소득이 낮을수록 </w:t>
      </w:r>
      <w:r w:rsidR="008A2E0A">
        <w:rPr>
          <w:rFonts w:hint="eastAsia"/>
        </w:rPr>
        <w:t xml:space="preserve">농림어업 </w:t>
      </w:r>
      <w:proofErr w:type="spellStart"/>
      <w:r w:rsidR="008A2E0A">
        <w:rPr>
          <w:rFonts w:hint="eastAsia"/>
        </w:rPr>
        <w:t>숙련직과</w:t>
      </w:r>
      <w:proofErr w:type="spellEnd"/>
      <w:r w:rsidR="008A2E0A">
        <w:rPr>
          <w:rFonts w:hint="eastAsia"/>
        </w:rPr>
        <w:t xml:space="preserve"> </w:t>
      </w:r>
      <w:proofErr w:type="spellStart"/>
      <w:r w:rsidR="008A2E0A">
        <w:rPr>
          <w:rFonts w:hint="eastAsia"/>
        </w:rPr>
        <w:t>단순노무직의</w:t>
      </w:r>
      <w:proofErr w:type="spellEnd"/>
      <w:r w:rsidR="008A2E0A">
        <w:rPr>
          <w:rFonts w:hint="eastAsia"/>
        </w:rPr>
        <w:t xml:space="preserve"> 비중이 높은 것으로 나타났으며, </w:t>
      </w:r>
      <w:r w:rsidR="008A2E0A">
        <w:rPr>
          <w:rFonts w:hint="eastAsia"/>
        </w:rPr>
        <w:t xml:space="preserve">반대로 </w:t>
      </w:r>
      <w:r w:rsidR="008A2E0A">
        <w:rPr>
          <w:rFonts w:hint="eastAsia"/>
        </w:rPr>
        <w:t xml:space="preserve">관리자와 전문직의 비중이 </w:t>
      </w:r>
      <w:r w:rsidR="008A2E0A">
        <w:rPr>
          <w:rFonts w:hint="eastAsia"/>
        </w:rPr>
        <w:t xml:space="preserve">소득 수준에 </w:t>
      </w:r>
      <w:r w:rsidR="008A2E0A">
        <w:rPr>
          <w:rFonts w:hint="eastAsia"/>
        </w:rPr>
        <w:t xml:space="preserve">비례하여 </w:t>
      </w:r>
      <w:r w:rsidR="008A2E0A">
        <w:rPr>
          <w:rFonts w:hint="eastAsia"/>
        </w:rPr>
        <w:t xml:space="preserve">높아지는 모습이었다. </w:t>
      </w:r>
      <w:r w:rsidRPr="009213A2">
        <w:rPr>
          <w:rFonts w:hint="eastAsia"/>
        </w:rPr>
        <w:t>인공지능에 의한 자동화의 위험이 과거의 기술과 마찬가지로 향후에 중산층에 영향이 클 것임을 보여주는 결과다.</w:t>
      </w:r>
    </w:p>
    <w:p w:rsidR="009213A2" w:rsidRPr="009213A2" w:rsidRDefault="008A2E0A" w:rsidP="009213A2">
      <w:pPr>
        <w:jc w:val="center"/>
        <w:rPr>
          <w:b/>
        </w:rPr>
      </w:pPr>
      <w:r w:rsidRPr="008A2E0A">
        <w:rPr>
          <w:rFonts w:hint="eastAsia"/>
          <w:b/>
          <w:color w:val="FF0000"/>
          <w:highlight w:val="yellow"/>
        </w:rPr>
        <w:t>&lt;</w:t>
      </w:r>
      <w:r>
        <w:rPr>
          <w:rFonts w:hint="eastAsia"/>
          <w:b/>
          <w:color w:val="FF0000"/>
          <w:highlight w:val="yellow"/>
        </w:rPr>
        <w:t>수정</w:t>
      </w:r>
      <w:r w:rsidRPr="008A2E0A">
        <w:rPr>
          <w:rFonts w:hint="eastAsia"/>
          <w:b/>
          <w:color w:val="FF0000"/>
          <w:highlight w:val="yellow"/>
        </w:rPr>
        <w:t>&gt;</w:t>
      </w:r>
      <w:r>
        <w:rPr>
          <w:rFonts w:hint="eastAsia"/>
          <w:b/>
          <w:color w:val="FF0000"/>
        </w:rPr>
        <w:t xml:space="preserve"> </w:t>
      </w:r>
      <w:r w:rsidR="009213A2" w:rsidRPr="009213A2">
        <w:rPr>
          <w:rFonts w:hint="eastAsia"/>
          <w:b/>
        </w:rPr>
        <w:t>그림</w:t>
      </w:r>
      <w:r w:rsidR="009213A2" w:rsidRPr="009213A2">
        <w:rPr>
          <w:b/>
        </w:rPr>
        <w:t>1</w:t>
      </w:r>
      <w:r w:rsidR="009213A2" w:rsidRPr="009213A2">
        <w:rPr>
          <w:rFonts w:hint="eastAsia"/>
          <w:b/>
        </w:rPr>
        <w:t>1</w:t>
      </w:r>
      <w:r w:rsidR="009213A2" w:rsidRPr="009213A2">
        <w:rPr>
          <w:b/>
        </w:rPr>
        <w:t>. 소득수준별 고위험</w:t>
      </w:r>
      <w:r w:rsidR="009213A2">
        <w:rPr>
          <w:rFonts w:hint="eastAsia"/>
          <w:b/>
        </w:rPr>
        <w:t>군 비중</w:t>
      </w:r>
    </w:p>
    <w:p w:rsidR="009213A2" w:rsidRDefault="009213A2" w:rsidP="009213A2">
      <w:pPr>
        <w:rPr>
          <w:rFonts w:hint="eastAsia"/>
        </w:rPr>
      </w:pPr>
      <w:r w:rsidRPr="009213A2">
        <w:rPr>
          <w:noProof/>
        </w:rPr>
        <w:drawing>
          <wp:inline distT="0" distB="0" distL="0" distR="0" wp14:anchorId="1308F2C3" wp14:editId="5955ED3E">
            <wp:extent cx="5731510" cy="3151718"/>
            <wp:effectExtent l="0" t="0" r="21590" b="10795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2E0A" w:rsidRDefault="008A2E0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A2E0A" w:rsidRPr="008A2E0A" w:rsidRDefault="008A2E0A" w:rsidP="008A2E0A">
      <w:pPr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 </w:t>
      </w:r>
      <w:r w:rsidRPr="008A2E0A">
        <w:rPr>
          <w:rFonts w:hint="eastAsia"/>
          <w:b/>
          <w:color w:val="FF0000"/>
          <w:highlight w:val="yellow"/>
        </w:rPr>
        <w:t>&lt;</w:t>
      </w:r>
      <w:r>
        <w:rPr>
          <w:rFonts w:hint="eastAsia"/>
          <w:b/>
          <w:color w:val="FF0000"/>
          <w:highlight w:val="yellow"/>
        </w:rPr>
        <w:t>추가</w:t>
      </w:r>
      <w:r w:rsidRPr="008A2E0A">
        <w:rPr>
          <w:rFonts w:hint="eastAsia"/>
          <w:b/>
          <w:color w:val="FF0000"/>
          <w:highlight w:val="yellow"/>
        </w:rPr>
        <w:t>&gt;</w:t>
      </w:r>
      <w:r w:rsidRPr="008A2E0A">
        <w:rPr>
          <w:rFonts w:hint="eastAsia"/>
          <w:b/>
        </w:rPr>
        <w:t>그림</w:t>
      </w:r>
      <w:r w:rsidRPr="008A2E0A">
        <w:rPr>
          <w:b/>
        </w:rPr>
        <w:t>13. 소득수준별 직업 분포</w:t>
      </w:r>
    </w:p>
    <w:p w:rsidR="008A2E0A" w:rsidRPr="009213A2" w:rsidRDefault="008A2E0A" w:rsidP="009213A2">
      <w:r w:rsidRPr="008A2E0A">
        <w:drawing>
          <wp:inline distT="0" distB="0" distL="0" distR="0" wp14:anchorId="2A779317" wp14:editId="48529DB1">
            <wp:extent cx="5731510" cy="3151718"/>
            <wp:effectExtent l="0" t="0" r="21590" b="10795"/>
            <wp:docPr id="8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213A2" w:rsidRPr="009213A2" w:rsidRDefault="008A2E0A" w:rsidP="008A2E0A">
      <w:r>
        <w:rPr>
          <w:rFonts w:hint="eastAsia"/>
        </w:rPr>
        <w:t xml:space="preserve">이미 정형화된 일자리를 컴퓨터가 대체하는 과정에서도 </w:t>
      </w:r>
      <w:proofErr w:type="spellStart"/>
      <w:r>
        <w:rPr>
          <w:rFonts w:hint="eastAsia"/>
        </w:rPr>
        <w:t>중숙련</w:t>
      </w:r>
      <w:proofErr w:type="spellEnd"/>
      <w:r>
        <w:rPr>
          <w:rFonts w:hint="eastAsia"/>
        </w:rPr>
        <w:t xml:space="preserve"> 일자리의 비중이 크게 감소하면서 노동시장의 양극화가 심화된 바 있다.</w:t>
      </w:r>
      <w:r w:rsidR="009213A2" w:rsidRPr="009213A2">
        <w:rPr>
          <w:vertAlign w:val="superscript"/>
        </w:rPr>
        <w:footnoteReference w:id="1"/>
      </w:r>
      <w:r w:rsidR="009213A2" w:rsidRPr="009213A2">
        <w:rPr>
          <w:rFonts w:hint="eastAsia"/>
        </w:rPr>
        <w:t xml:space="preserve"> </w:t>
      </w:r>
      <w:proofErr w:type="spellStart"/>
      <w:r w:rsidR="009213A2" w:rsidRPr="009213A2">
        <w:t>Worldbank</w:t>
      </w:r>
      <w:proofErr w:type="spellEnd"/>
      <w:r w:rsidR="009213A2" w:rsidRPr="009213A2">
        <w:t xml:space="preserve">(2016)에 따르면, </w:t>
      </w:r>
      <w:r w:rsidR="009213A2" w:rsidRPr="009213A2">
        <w:rPr>
          <w:rFonts w:hint="eastAsia"/>
        </w:rPr>
        <w:t>90년대 중반 이후</w:t>
      </w:r>
      <w:r w:rsidR="009213A2" w:rsidRPr="009213A2">
        <w:t xml:space="preserve"> 대부분의 국가들</w:t>
      </w:r>
      <w:r w:rsidR="009213A2" w:rsidRPr="009213A2">
        <w:rPr>
          <w:rFonts w:hint="eastAsia"/>
        </w:rPr>
        <w:t>에서</w:t>
      </w:r>
      <w:r w:rsidR="009213A2" w:rsidRPr="009213A2">
        <w:t xml:space="preserve"> </w:t>
      </w:r>
      <w:proofErr w:type="spellStart"/>
      <w:r w:rsidR="009213A2" w:rsidRPr="009213A2">
        <w:t>고숙련</w:t>
      </w:r>
      <w:proofErr w:type="spellEnd"/>
      <w:r w:rsidR="009213A2" w:rsidRPr="009213A2">
        <w:t xml:space="preserve"> 일자리</w:t>
      </w:r>
      <w:r w:rsidR="009213A2" w:rsidRPr="009213A2">
        <w:rPr>
          <w:rFonts w:hint="eastAsia"/>
        </w:rPr>
        <w:t xml:space="preserve">가 증가하고, </w:t>
      </w:r>
      <w:proofErr w:type="spellStart"/>
      <w:r w:rsidR="009213A2" w:rsidRPr="009213A2">
        <w:t>저숙련</w:t>
      </w:r>
      <w:proofErr w:type="spellEnd"/>
      <w:r w:rsidR="009213A2" w:rsidRPr="009213A2">
        <w:t xml:space="preserve"> 일자리</w:t>
      </w:r>
      <w:r w:rsidR="009213A2" w:rsidRPr="009213A2">
        <w:rPr>
          <w:rFonts w:hint="eastAsia"/>
        </w:rPr>
        <w:t xml:space="preserve">가 증가하거나 소폭 감소하는 동안, </w:t>
      </w:r>
      <w:proofErr w:type="spellStart"/>
      <w:r w:rsidR="009213A2" w:rsidRPr="009213A2">
        <w:t>중숙련</w:t>
      </w:r>
      <w:proofErr w:type="spellEnd"/>
      <w:r w:rsidR="009213A2" w:rsidRPr="009213A2">
        <w:t xml:space="preserve"> 일자리의 비중은 </w:t>
      </w:r>
      <w:r w:rsidR="009213A2" w:rsidRPr="009213A2">
        <w:rPr>
          <w:rFonts w:hint="eastAsia"/>
        </w:rPr>
        <w:t xml:space="preserve">크게 감소한 것으로 나타난다. </w:t>
      </w:r>
      <w:r>
        <w:rPr>
          <w:rFonts w:hint="eastAsia"/>
        </w:rPr>
        <w:t>인공지능의 발전으로 비정형화된 업무까지 자동화될 경우에도 중산층이 가장 큰 영향을 받게 된다면, 사회의 양극화 문제가 훨씬 더 심해질 우려가 있는 것이다.</w:t>
      </w:r>
    </w:p>
    <w:p w:rsidR="009213A2" w:rsidRPr="009213A2" w:rsidRDefault="009213A2" w:rsidP="009213A2">
      <w:pPr>
        <w:jc w:val="center"/>
        <w:rPr>
          <w:b/>
        </w:rPr>
      </w:pPr>
      <w:r w:rsidRPr="009213A2">
        <w:rPr>
          <w:b/>
        </w:rPr>
        <w:t>그림</w:t>
      </w:r>
      <w:r w:rsidRPr="009213A2">
        <w:rPr>
          <w:rFonts w:hint="eastAsia"/>
          <w:b/>
        </w:rPr>
        <w:t>12.</w:t>
      </w:r>
      <w:r w:rsidRPr="009213A2">
        <w:rPr>
          <w:b/>
        </w:rPr>
        <w:t xml:space="preserve"> 기술 숙련도별 일자리 </w:t>
      </w:r>
      <w:r w:rsidRPr="009213A2">
        <w:rPr>
          <w:rFonts w:hint="eastAsia"/>
          <w:b/>
        </w:rPr>
        <w:t>증가 기여도</w:t>
      </w:r>
      <w:r w:rsidRPr="009213A2">
        <w:rPr>
          <w:b/>
        </w:rPr>
        <w:t xml:space="preserve"> 변화(1995~2012, %p)</w:t>
      </w:r>
    </w:p>
    <w:p w:rsidR="009213A2" w:rsidRPr="009213A2" w:rsidRDefault="009213A2" w:rsidP="009213A2">
      <w:pPr>
        <w:jc w:val="center"/>
      </w:pPr>
      <w:r w:rsidRPr="009213A2">
        <w:rPr>
          <w:noProof/>
        </w:rPr>
        <w:lastRenderedPageBreak/>
        <w:drawing>
          <wp:inline distT="0" distB="0" distL="0" distR="0" wp14:anchorId="590DEE87" wp14:editId="068491C7">
            <wp:extent cx="4495800" cy="24742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34" cy="2481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7F9" w:rsidRPr="009213A2" w:rsidRDefault="004867F9">
      <w:r>
        <w:rPr>
          <w:rFonts w:hint="eastAsia"/>
        </w:rPr>
        <w:t xml:space="preserve">자료: </w:t>
      </w:r>
      <w:proofErr w:type="spellStart"/>
      <w:r>
        <w:rPr>
          <w:rFonts w:hint="eastAsia"/>
        </w:rPr>
        <w:t>Worldbank</w:t>
      </w:r>
      <w:proofErr w:type="spellEnd"/>
      <w:r>
        <w:rPr>
          <w:rFonts w:hint="eastAsia"/>
        </w:rPr>
        <w:t>(2016)</w:t>
      </w:r>
      <w:r>
        <w:rPr>
          <w:rFonts w:hint="eastAsia"/>
        </w:rPr>
        <w:br/>
        <w:t xml:space="preserve">주: 1995~2012년 기간 </w:t>
      </w:r>
      <w:proofErr w:type="spellStart"/>
      <w:r w:rsidR="001F6244">
        <w:rPr>
          <w:rFonts w:hint="eastAsia"/>
        </w:rPr>
        <w:t>숙력도별</w:t>
      </w:r>
      <w:proofErr w:type="spellEnd"/>
      <w:r w:rsidR="001F6244">
        <w:rPr>
          <w:rFonts w:hint="eastAsia"/>
        </w:rPr>
        <w:t xml:space="preserve"> 증가한 </w:t>
      </w:r>
      <w:r>
        <w:rPr>
          <w:rFonts w:hint="eastAsia"/>
        </w:rPr>
        <w:t>일자리에 대한</w:t>
      </w:r>
      <w:r w:rsidR="001F6244">
        <w:rPr>
          <w:rFonts w:hint="eastAsia"/>
        </w:rPr>
        <w:t xml:space="preserve"> </w:t>
      </w:r>
      <w:r>
        <w:rPr>
          <w:rFonts w:hint="eastAsia"/>
        </w:rPr>
        <w:t>기여</w:t>
      </w:r>
      <w:r w:rsidR="001F6244">
        <w:rPr>
          <w:rFonts w:hint="eastAsia"/>
        </w:rPr>
        <w:t>율</w:t>
      </w:r>
    </w:p>
    <w:sectPr w:rsidR="004867F9" w:rsidRPr="00921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3A2" w:rsidRDefault="009213A2" w:rsidP="009213A2">
      <w:pPr>
        <w:spacing w:after="0" w:line="240" w:lineRule="auto"/>
      </w:pPr>
      <w:r>
        <w:separator/>
      </w:r>
    </w:p>
  </w:endnote>
  <w:endnote w:type="continuationSeparator" w:id="0">
    <w:p w:rsidR="009213A2" w:rsidRDefault="009213A2" w:rsidP="0092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3A2" w:rsidRDefault="009213A2" w:rsidP="009213A2">
      <w:pPr>
        <w:spacing w:after="0" w:line="240" w:lineRule="auto"/>
      </w:pPr>
      <w:r>
        <w:separator/>
      </w:r>
    </w:p>
  </w:footnote>
  <w:footnote w:type="continuationSeparator" w:id="0">
    <w:p w:rsidR="009213A2" w:rsidRDefault="009213A2" w:rsidP="009213A2">
      <w:pPr>
        <w:spacing w:after="0" w:line="240" w:lineRule="auto"/>
      </w:pPr>
      <w:r>
        <w:continuationSeparator/>
      </w:r>
    </w:p>
  </w:footnote>
  <w:footnote w:id="1">
    <w:p w:rsidR="009213A2" w:rsidRPr="00E7375A" w:rsidRDefault="009213A2" w:rsidP="009213A2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t>Acemoglu</w:t>
      </w:r>
      <w:proofErr w:type="spellEnd"/>
      <w:r>
        <w:t xml:space="preserve">, D. and D. </w:t>
      </w:r>
      <w:proofErr w:type="spellStart"/>
      <w:r>
        <w:t>Autor</w:t>
      </w:r>
      <w:proofErr w:type="spellEnd"/>
      <w:r>
        <w:t>, “Skills, Tasks and Technologies:</w:t>
      </w:r>
      <w:r>
        <w:rPr>
          <w:rFonts w:hint="eastAsia"/>
        </w:rPr>
        <w:t xml:space="preserve"> </w:t>
      </w:r>
      <w:r>
        <w:t xml:space="preserve">Implications for Employment and Earnings”, </w:t>
      </w:r>
      <w:r>
        <w:rPr>
          <w:rFonts w:hint="eastAsia"/>
        </w:rPr>
        <w:t>2010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A2"/>
    <w:rsid w:val="001F6244"/>
    <w:rsid w:val="0020247E"/>
    <w:rsid w:val="004867F9"/>
    <w:rsid w:val="00537837"/>
    <w:rsid w:val="008A2E0A"/>
    <w:rsid w:val="008B70DA"/>
    <w:rsid w:val="009213A2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9213A2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rsid w:val="009213A2"/>
  </w:style>
  <w:style w:type="character" w:styleId="a4">
    <w:name w:val="footnote reference"/>
    <w:basedOn w:val="a0"/>
    <w:uiPriority w:val="99"/>
    <w:semiHidden/>
    <w:unhideWhenUsed/>
    <w:rsid w:val="009213A2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9213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213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9213A2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rsid w:val="009213A2"/>
  </w:style>
  <w:style w:type="character" w:styleId="a4">
    <w:name w:val="footnote reference"/>
    <w:basedOn w:val="a0"/>
    <w:uiPriority w:val="99"/>
    <w:semiHidden/>
    <w:unhideWhenUsed/>
    <w:rsid w:val="009213A2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9213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21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3대 리스크 직종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무학</c:v>
                </c:pt>
                <c:pt idx="1">
                  <c:v>초등학교</c:v>
                </c:pt>
                <c:pt idx="2">
                  <c:v>중학교</c:v>
                </c:pt>
                <c:pt idx="3">
                  <c:v>고등학교</c:v>
                </c:pt>
                <c:pt idx="4">
                  <c:v>전문대</c:v>
                </c:pt>
                <c:pt idx="5">
                  <c:v>대학교</c:v>
                </c:pt>
                <c:pt idx="6">
                  <c:v>석사</c:v>
                </c:pt>
                <c:pt idx="7">
                  <c:v>박사</c:v>
                </c:pt>
              </c:strCache>
            </c:strRef>
          </c:cat>
          <c:val>
            <c:numRef>
              <c:f>Sheet1!$B$2:$B$9</c:f>
              <c:numCache>
                <c:formatCode>0%</c:formatCode>
                <c:ptCount val="8"/>
                <c:pt idx="0">
                  <c:v>7.7828856965498419E-2</c:v>
                </c:pt>
                <c:pt idx="1">
                  <c:v>0.13824143384803506</c:v>
                </c:pt>
                <c:pt idx="2">
                  <c:v>0.25579969926444363</c:v>
                </c:pt>
                <c:pt idx="3">
                  <c:v>0.46390894000051058</c:v>
                </c:pt>
                <c:pt idx="4">
                  <c:v>0.47617649659679961</c:v>
                </c:pt>
                <c:pt idx="5">
                  <c:v>0.44651098199560046</c:v>
                </c:pt>
                <c:pt idx="6">
                  <c:v>0.22990823137375435</c:v>
                </c:pt>
                <c:pt idx="7">
                  <c:v>7.2227375248920575E-2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관리자+전문가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무학</c:v>
                </c:pt>
                <c:pt idx="1">
                  <c:v>초등학교</c:v>
                </c:pt>
                <c:pt idx="2">
                  <c:v>중학교</c:v>
                </c:pt>
                <c:pt idx="3">
                  <c:v>고등학교</c:v>
                </c:pt>
                <c:pt idx="4">
                  <c:v>전문대</c:v>
                </c:pt>
                <c:pt idx="5">
                  <c:v>대학교</c:v>
                </c:pt>
                <c:pt idx="6">
                  <c:v>석사</c:v>
                </c:pt>
                <c:pt idx="7">
                  <c:v>박사</c:v>
                </c:pt>
              </c:strCache>
            </c:strRef>
          </c:cat>
          <c:val>
            <c:numRef>
              <c:f>Sheet1!$C$2:$C$9</c:f>
              <c:numCache>
                <c:formatCode>0%</c:formatCode>
                <c:ptCount val="8"/>
                <c:pt idx="0">
                  <c:v>3.0615744858598199E-3</c:v>
                </c:pt>
                <c:pt idx="1">
                  <c:v>7.396538503418159E-3</c:v>
                </c:pt>
                <c:pt idx="2">
                  <c:v>9.5557398060698174E-3</c:v>
                </c:pt>
                <c:pt idx="3">
                  <c:v>5.5803391763709083E-2</c:v>
                </c:pt>
                <c:pt idx="4">
                  <c:v>0.2475957525301003</c:v>
                </c:pt>
                <c:pt idx="5">
                  <c:v>0.3921459685521807</c:v>
                </c:pt>
                <c:pt idx="6">
                  <c:v>0.72663960858877474</c:v>
                </c:pt>
                <c:pt idx="7">
                  <c:v>0.90846829067365831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농림어업+단순노무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무학</c:v>
                </c:pt>
                <c:pt idx="1">
                  <c:v>초등학교</c:v>
                </c:pt>
                <c:pt idx="2">
                  <c:v>중학교</c:v>
                </c:pt>
                <c:pt idx="3">
                  <c:v>고등학교</c:v>
                </c:pt>
                <c:pt idx="4">
                  <c:v>전문대</c:v>
                </c:pt>
                <c:pt idx="5">
                  <c:v>대학교</c:v>
                </c:pt>
                <c:pt idx="6">
                  <c:v>석사</c:v>
                </c:pt>
                <c:pt idx="7">
                  <c:v>박사</c:v>
                </c:pt>
              </c:strCache>
            </c:strRef>
          </c:cat>
          <c:val>
            <c:numRef>
              <c:f>Sheet1!$D$2:$D$9</c:f>
              <c:numCache>
                <c:formatCode>0%</c:formatCode>
                <c:ptCount val="8"/>
                <c:pt idx="0">
                  <c:v>0.81124257383840404</c:v>
                </c:pt>
                <c:pt idx="1">
                  <c:v>0.6580111728108089</c:v>
                </c:pt>
                <c:pt idx="2">
                  <c:v>0.44179126919523942</c:v>
                </c:pt>
                <c:pt idx="3">
                  <c:v>0.20605774807826654</c:v>
                </c:pt>
                <c:pt idx="4">
                  <c:v>7.737803318645671E-2</c:v>
                </c:pt>
                <c:pt idx="5">
                  <c:v>4.6728347530367365E-2</c:v>
                </c:pt>
                <c:pt idx="6">
                  <c:v>1.2226206674033032E-2</c:v>
                </c:pt>
                <c:pt idx="7">
                  <c:v>8.1696562435040459E-3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24704"/>
        <c:axId val="52734784"/>
      </c:lineChart>
      <c:catAx>
        <c:axId val="41224704"/>
        <c:scaling>
          <c:orientation val="minMax"/>
        </c:scaling>
        <c:delete val="0"/>
        <c:axPos val="b"/>
        <c:majorTickMark val="out"/>
        <c:minorTickMark val="none"/>
        <c:tickLblPos val="nextTo"/>
        <c:crossAx val="52734784"/>
        <c:crosses val="autoZero"/>
        <c:auto val="1"/>
        <c:lblAlgn val="ctr"/>
        <c:lblOffset val="100"/>
        <c:noMultiLvlLbl val="0"/>
      </c:catAx>
      <c:valAx>
        <c:axId val="52734784"/>
        <c:scaling>
          <c:orientation val="minMax"/>
        </c:scaling>
        <c:delete val="0"/>
        <c:axPos val="l"/>
        <c:numFmt formatCode="0%" sourceLinked="1"/>
        <c:majorTickMark val="out"/>
        <c:minorTickMark val="none"/>
        <c:tickLblPos val="nextTo"/>
        <c:crossAx val="412247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ko-K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Sheet1!$A$2:$A$7</c:f>
              <c:strCache>
                <c:ptCount val="6"/>
                <c:pt idx="0">
                  <c:v>100만원 미만</c:v>
                </c:pt>
                <c:pt idx="1">
                  <c:v>200만원 미만</c:v>
                </c:pt>
                <c:pt idx="2">
                  <c:v>300만원 미만</c:v>
                </c:pt>
                <c:pt idx="3">
                  <c:v>400만원 미만</c:v>
                </c:pt>
                <c:pt idx="4">
                  <c:v>500만원 미만</c:v>
                </c:pt>
                <c:pt idx="5">
                  <c:v>500만원 이상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0.36611282280732754</c:v>
                </c:pt>
                <c:pt idx="1">
                  <c:v>0.39461150236756631</c:v>
                </c:pt>
                <c:pt idx="2">
                  <c:v>0.42171462353854566</c:v>
                </c:pt>
                <c:pt idx="3">
                  <c:v>0.37740446909940067</c:v>
                </c:pt>
                <c:pt idx="4">
                  <c:v>0.33664495665501443</c:v>
                </c:pt>
                <c:pt idx="5">
                  <c:v>0.27303920729966963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332032"/>
        <c:axId val="67834944"/>
      </c:barChart>
      <c:catAx>
        <c:axId val="52332032"/>
        <c:scaling>
          <c:orientation val="minMax"/>
        </c:scaling>
        <c:delete val="0"/>
        <c:axPos val="b"/>
        <c:majorTickMark val="out"/>
        <c:minorTickMark val="none"/>
        <c:tickLblPos val="nextTo"/>
        <c:crossAx val="67834944"/>
        <c:crosses val="autoZero"/>
        <c:auto val="1"/>
        <c:lblAlgn val="ctr"/>
        <c:lblOffset val="100"/>
        <c:noMultiLvlLbl val="0"/>
      </c:catAx>
      <c:valAx>
        <c:axId val="67834944"/>
        <c:scaling>
          <c:orientation val="minMax"/>
          <c:max val="0.5"/>
          <c:min val="0.2"/>
        </c:scaling>
        <c:delete val="1"/>
        <c:axPos val="l"/>
        <c:numFmt formatCode="0%" sourceLinked="1"/>
        <c:majorTickMark val="out"/>
        <c:minorTickMark val="none"/>
        <c:tickLblPos val="nextTo"/>
        <c:crossAx val="523320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ko-K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3대 리스크 직종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100만원 미만</c:v>
                </c:pt>
                <c:pt idx="1">
                  <c:v>200만원 미만</c:v>
                </c:pt>
                <c:pt idx="2">
                  <c:v>300만원 미만</c:v>
                </c:pt>
                <c:pt idx="3">
                  <c:v>400만원 미만</c:v>
                </c:pt>
                <c:pt idx="4">
                  <c:v>500만원 미만</c:v>
                </c:pt>
                <c:pt idx="5">
                  <c:v>500만원 이상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0.19267337310690724</c:v>
                </c:pt>
                <c:pt idx="1">
                  <c:v>0.36274060351873944</c:v>
                </c:pt>
                <c:pt idx="2">
                  <c:v>0.49088830271277495</c:v>
                </c:pt>
                <c:pt idx="3">
                  <c:v>0.50440818917616526</c:v>
                </c:pt>
                <c:pt idx="4">
                  <c:v>0.4877043847963618</c:v>
                </c:pt>
                <c:pt idx="5">
                  <c:v>0.41030094455404531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관리자+전문가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100만원 미만</c:v>
                </c:pt>
                <c:pt idx="1">
                  <c:v>200만원 미만</c:v>
                </c:pt>
                <c:pt idx="2">
                  <c:v>300만원 미만</c:v>
                </c:pt>
                <c:pt idx="3">
                  <c:v>400만원 미만</c:v>
                </c:pt>
                <c:pt idx="4">
                  <c:v>500만원 미만</c:v>
                </c:pt>
                <c:pt idx="5">
                  <c:v>500만원 이상</c:v>
                </c:pt>
              </c:strCache>
            </c:strRef>
          </c:cat>
          <c:val>
            <c:numRef>
              <c:f>Sheet1!$C$2:$C$7</c:f>
              <c:numCache>
                <c:formatCode>0%</c:formatCode>
                <c:ptCount val="6"/>
                <c:pt idx="0">
                  <c:v>0.10264313813143966</c:v>
                </c:pt>
                <c:pt idx="1">
                  <c:v>0.16556211468910154</c:v>
                </c:pt>
                <c:pt idx="2">
                  <c:v>0.23054043941208732</c:v>
                </c:pt>
                <c:pt idx="3">
                  <c:v>0.30784482970693677</c:v>
                </c:pt>
                <c:pt idx="4">
                  <c:v>0.39112873622809152</c:v>
                </c:pt>
                <c:pt idx="5">
                  <c:v>0.52701934767970049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농림어업+단순노무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100만원 미만</c:v>
                </c:pt>
                <c:pt idx="1">
                  <c:v>200만원 미만</c:v>
                </c:pt>
                <c:pt idx="2">
                  <c:v>300만원 미만</c:v>
                </c:pt>
                <c:pt idx="3">
                  <c:v>400만원 미만</c:v>
                </c:pt>
                <c:pt idx="4">
                  <c:v>500만원 미만</c:v>
                </c:pt>
                <c:pt idx="5">
                  <c:v>500만원 이상</c:v>
                </c:pt>
              </c:strCache>
            </c:strRef>
          </c:cat>
          <c:val>
            <c:numRef>
              <c:f>Sheet1!$D$2:$D$7</c:f>
              <c:numCache>
                <c:formatCode>0%</c:formatCode>
                <c:ptCount val="6"/>
                <c:pt idx="0">
                  <c:v>0.45761476669160472</c:v>
                </c:pt>
                <c:pt idx="1">
                  <c:v>0.27032118221963791</c:v>
                </c:pt>
                <c:pt idx="2">
                  <c:v>8.5704081080593797E-2</c:v>
                </c:pt>
                <c:pt idx="3">
                  <c:v>2.7020641021220888E-2</c:v>
                </c:pt>
                <c:pt idx="4">
                  <c:v>3.8558649866353503E-3</c:v>
                </c:pt>
                <c:pt idx="5">
                  <c:v>1.2714044338288514E-3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30496"/>
        <c:axId val="82535552"/>
      </c:lineChart>
      <c:catAx>
        <c:axId val="52330496"/>
        <c:scaling>
          <c:orientation val="minMax"/>
        </c:scaling>
        <c:delete val="0"/>
        <c:axPos val="b"/>
        <c:majorTickMark val="out"/>
        <c:minorTickMark val="none"/>
        <c:tickLblPos val="nextTo"/>
        <c:crossAx val="82535552"/>
        <c:crosses val="autoZero"/>
        <c:auto val="1"/>
        <c:lblAlgn val="ctr"/>
        <c:lblOffset val="100"/>
        <c:noMultiLvlLbl val="0"/>
      </c:catAx>
      <c:valAx>
        <c:axId val="82535552"/>
        <c:scaling>
          <c:orientation val="minMax"/>
        </c:scaling>
        <c:delete val="0"/>
        <c:axPos val="l"/>
        <c:numFmt formatCode="0%" sourceLinked="1"/>
        <c:majorTickMark val="out"/>
        <c:minorTickMark val="none"/>
        <c:tickLblPos val="nextTo"/>
        <c:crossAx val="523304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ko-K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2</cp:revision>
  <dcterms:created xsi:type="dcterms:W3CDTF">2018-05-03T10:36:00Z</dcterms:created>
  <dcterms:modified xsi:type="dcterms:W3CDTF">2018-05-03T11:07:00Z</dcterms:modified>
</cp:coreProperties>
</file>