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D4ED8" w:sz="12" w:space="6"/>
        </w:pBdr>
        <w:spacing w:after="40"/>
      </w:pPr>
      <w:r>
        <w:rPr>
          <w:b/>
          <w:bCs/>
          <w:color w:val="1F2933"/>
          <w:sz w:val="40"/>
          <w:szCs w:val="40"/>
          <w:rFonts w:ascii="Calibri" w:cs="Calibri" w:eastAsia="Calibri" w:hAnsi="Calibri"/>
        </w:rPr>
        <w:t xml:space="preserve">Week 6 — Network Device Attacks</w:t>
      </w:r>
    </w:p>
    <w:p>
      <w:pPr>
        <w:spacing w:after="120"/>
      </w:pPr>
      <w:r>
        <w:rPr>
          <w:i/>
          <w:iCs/>
          <w:color w:val="52606D"/>
          <w:sz w:val="23"/>
          <w:szCs w:val="23"/>
        </w:rPr>
        <w:t xml:space="preserve">Pre-task VM safety evidence, macro-virus research, and Stuxnet analysis</w:t>
      </w:r>
    </w:p>
    <w:p>
      <w:pPr>
        <w:spacing w:after="40"/>
      </w:pPr>
      <w:r>
        <w:rPr>
          <w:b/>
          <w:bCs/>
          <w:color w:val="1F2933"/>
          <w:sz w:val="21"/>
          <w:szCs w:val="21"/>
        </w:rPr>
        <w:t xml:space="preserve">Student: </w:t>
      </w:r>
      <w:r>
        <w:rPr>
          <w:color w:val="1F2933"/>
          <w:sz w:val="21"/>
          <w:szCs w:val="21"/>
        </w:rPr>
        <w:t xml:space="preserve">MD Ala Uddin    </w:t>
      </w:r>
      <w:r>
        <w:rPr>
          <w:b/>
          <w:bCs/>
          <w:color w:val="1F2933"/>
          <w:sz w:val="21"/>
          <w:szCs w:val="21"/>
        </w:rPr>
        <w:t xml:space="preserve">Student ID: </w:t>
      </w:r>
      <w:r>
        <w:rPr>
          <w:color w:val="1F2933"/>
          <w:sz w:val="21"/>
          <w:szCs w:val="21"/>
        </w:rPr>
        <w:t xml:space="preserve">64310…</w:t>
      </w:r>
    </w:p>
    <w:p>
      <w:pPr>
        <w:spacing w:after="240"/>
      </w:pPr>
      <w:r>
        <w:rPr>
          <w:b/>
          <w:bCs/>
          <w:color w:val="1F2933"/>
          <w:sz w:val="21"/>
          <w:szCs w:val="21"/>
        </w:rPr>
        <w:t xml:space="preserve">Course: </w:t>
      </w:r>
      <w:r>
        <w:rPr>
          <w:color w:val="1F2933"/>
          <w:sz w:val="21"/>
          <w:szCs w:val="21"/>
        </w:rPr>
        <w:t xml:space="preserve">ITSC3006R — Security Testing &amp; Ethical Hacking</w:t>
      </w:r>
    </w:p>
    <w:p>
      <w:pPr>
        <w:pStyle w:val="Heading1"/>
        <w:spacing w:before="240" w:after="120"/>
      </w:pPr>
      <w:r>
        <w:rPr>
          <w:b/>
          <w:bCs/>
          <w:color w:val="1D4ED8"/>
          <w:sz w:val="30"/>
          <w:szCs w:val="30"/>
          <w:rFonts w:ascii="Calibri" w:cs="Calibri" w:eastAsia="Calibri" w:hAnsi="Calibri"/>
        </w:rPr>
        <w:t xml:space="preserve">Pre-Task — VM Safety &amp; Snapshot Practice</w:t>
      </w:r>
    </w:p>
    <w:p>
      <w:pPr>
        <w:spacing w:after="120" w:line="276"/>
        <w:jc w:val="left"/>
      </w:pPr>
      <w:r>
        <w:rPr>
          <w:b w:val="false"/>
          <w:bCs w:val="false"/>
          <w:i w:val="false"/>
          <w:iCs w:val="false"/>
          <w:color w:val="1F2933"/>
          <w:sz w:val="22"/>
          <w:szCs w:val="22"/>
          <w:rFonts w:ascii="Calibri" w:cs="Calibri" w:eastAsia="Calibri" w:hAnsi="Calibri"/>
        </w:rPr>
        <w:t xml:space="preserve">This evidence shows a snapshot was taken and the VM network adapter set to an isolated mode before any lab work. Full setup steps are in the companion file LAB_SETUP_GUIDE_MD_Ala_Uddin.docx (see “Snapshots” and “Host-Only network”).</w:t>
      </w:r>
    </w:p>
    <w:p>
      <w:pPr>
        <w:spacing w:before="120" w:after="60"/>
      </w:pPr>
      <w:r>
        <w:rPr>
          <w:b/>
          <w:bCs/>
          <w:color w:val="1D4ED8"/>
          <w:sz w:val="22"/>
          <w:szCs w:val="22"/>
          <w:rFonts w:ascii="Calibri" w:cs="Calibri" w:eastAsia="Calibri" w:hAnsi="Calibri"/>
        </w:rPr>
        <w:t xml:space="preserve">Quick steps performed</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Started VirtualBox and the lab VM (Kali).</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Took a snapshot named </w:t>
      </w:r>
      <w:r>
        <w:rPr>
          <w:b w:val="false"/>
          <w:bCs w:val="false"/>
          <w:i w:val="false"/>
          <w:iCs w:val="false"/>
          <w:color w:val="1F2933"/>
          <w:sz w:val="20"/>
          <w:szCs w:val="20"/>
          <w:rFonts w:ascii="Consolas" w:cs="Consolas" w:eastAsia="Consolas" w:hAnsi="Consolas"/>
        </w:rPr>
        <w:t xml:space="preserve">prelab_MD_Ala_Uddin</w:t>
      </w:r>
      <w:r>
        <w:rPr>
          <w:b w:val="false"/>
          <w:bCs w:val="false"/>
          <w:i w:val="false"/>
          <w:iCs w:val="false"/>
          <w:color w:val="1F2933"/>
          <w:sz w:val="22"/>
          <w:szCs w:val="22"/>
          <w:rFonts w:ascii="Calibri" w:cs="Calibri" w:eastAsia="Calibri" w:hAnsi="Calibri"/>
        </w:rPr>
        <w:t xml:space="preserve"> via Machine → Take Snapshot (GUI), or on the host CLI:</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VBoxManage snapshot "Kali" take prelab_MD_Ala_Uddin</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Changed Settings → Network → Adapter 1 → Attached to: Host-Only Adapter (or Internal Network named labnet).</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Verified the snapshot appears in the Snapshots pane and demonstrated Restore without committing an actual revert.</w:t>
      </w:r>
    </w:p>
    <w:p>
      <w:pPr>
        <w:spacing w:before="120" w:after="60"/>
      </w:pPr>
      <w:r>
        <w:rPr>
          <w:b/>
          <w:bCs/>
          <w:color w:val="1D4ED8"/>
          <w:sz w:val="22"/>
          <w:szCs w:val="22"/>
          <w:rFonts w:ascii="Calibri" w:cs="Calibri" w:eastAsia="Calibri" w:hAnsi="Calibri"/>
        </w:rPr>
        <w:t xml:space="preserve">Evidence</w:t>
      </w:r>
    </w:p>
    <w:p>
      <w:pPr>
        <w:pBdr>
          <w:top w:val="dashed" w:color="D97706" w:sz="10" w:space="8"/>
          <w:bottom w:val="dashed" w:color="D97706" w:sz="10" w:space="8"/>
          <w:left w:val="dashed" w:color="D97706" w:sz="10" w:space="8"/>
          <w:right w:val="dashed" w:color="D97706" w:sz="10" w:space="8"/>
        </w:pBdr>
        <w:shd w:fill="FFF4E5" w:color="auto" w:val="clear"/>
        <w:spacing w:before="80" w:after="120"/>
      </w:pPr>
      <w:r>
        <w:rPr>
          <w:b/>
          <w:bCs/>
          <w:color w:val="B45309"/>
          <w:sz w:val="21"/>
          <w:szCs w:val="21"/>
        </w:rPr>
        <w:t xml:space="preserve">[ INSERT SCREENSHOT: </w:t>
      </w:r>
      <w:r>
        <w:rPr>
          <w:color w:val="B45309"/>
          <w:sz w:val="21"/>
          <w:szCs w:val="21"/>
        </w:rPr>
        <w:t xml:space="preserve">prelab snapshot listed in the Snapshots pane (name prelab_MD_Ala_Uddin visible)</w:t>
      </w:r>
      <w:r>
        <w:rPr>
          <w:b/>
          <w:bCs/>
          <w:color w:val="B45309"/>
          <w:sz w:val="21"/>
          <w:szCs w:val="21"/>
        </w:rPr>
        <w:t xml:space="preserve"> ]</w:t>
      </w:r>
    </w:p>
    <w:p>
      <w:pPr>
        <w:pBdr>
          <w:top w:val="dashed" w:color="D97706" w:sz="10" w:space="8"/>
          <w:bottom w:val="dashed" w:color="D97706" w:sz="10" w:space="8"/>
          <w:left w:val="dashed" w:color="D97706" w:sz="10" w:space="8"/>
          <w:right w:val="dashed" w:color="D97706" w:sz="10" w:space="8"/>
        </w:pBdr>
        <w:shd w:fill="FFF4E5" w:color="auto" w:val="clear"/>
        <w:spacing w:before="80" w:after="120"/>
      </w:pPr>
      <w:r>
        <w:rPr>
          <w:b/>
          <w:bCs/>
          <w:color w:val="B45309"/>
          <w:sz w:val="21"/>
          <w:szCs w:val="21"/>
        </w:rPr>
        <w:t xml:space="preserve">[ INSERT SCREENSHOT: </w:t>
      </w:r>
      <w:r>
        <w:rPr>
          <w:color w:val="B45309"/>
          <w:sz w:val="21"/>
          <w:szCs w:val="21"/>
        </w:rPr>
        <w:t xml:space="preserve">Network adapter set to Host-Only Adapter / Internal Network (labnet)</w:t>
      </w:r>
      <w:r>
        <w:rPr>
          <w:b/>
          <w:bCs/>
          <w:color w:val="B45309"/>
          <w:sz w:val="21"/>
          <w:szCs w:val="21"/>
        </w:rPr>
        <w:t xml:space="preserve"> ]</w:t>
      </w:r>
    </w:p>
    <w:p>
      <w:pPr>
        <w:pBdr>
          <w:left w:val="single" w:color="1D4ED8" w:sz="24" w:space="8"/>
        </w:pBdr>
        <w:shd w:fill="EEF2FF" w:color="auto" w:val="clear"/>
        <w:spacing w:before="80" w:after="120"/>
      </w:pPr>
      <w:r>
        <w:rPr>
          <w:b/>
          <w:bCs/>
          <w:color w:val="1D4ED8"/>
          <w:sz w:val="21"/>
          <w:szCs w:val="21"/>
        </w:rPr>
        <w:t xml:space="preserve">Note: </w:t>
      </w:r>
      <w:r>
        <w:rPr>
          <w:color w:val="1F2933"/>
          <w:sz w:val="21"/>
          <w:szCs w:val="21"/>
        </w:rPr>
        <w:t xml:space="preserve">To capture these: in VirtualBox open the VM's Snapshots pane for the first image, and Settings → Network for the second. Use Shift+Cmd+4 on macOS to screenshot a region, then paste the image in place of each box above.</w:t>
      </w:r>
    </w:p>
    <w:p>
      <w:pPr>
        <w:pStyle w:val="Heading1"/>
        <w:spacing w:before="240" w:after="120"/>
      </w:pPr>
      <w:r>
        <w:rPr>
          <w:b/>
          <w:bCs/>
          <w:color w:val="1D4ED8"/>
          <w:sz w:val="30"/>
          <w:szCs w:val="30"/>
          <w:rFonts w:ascii="Calibri" w:cs="Calibri" w:eastAsia="Calibri" w:hAnsi="Calibri"/>
        </w:rPr>
        <w:t xml:space="preserve">Activity 1 — Identifying Macro Viruses</w:t>
      </w:r>
    </w:p>
    <w:p>
      <w:pPr>
        <w:pStyle w:val="Heading2"/>
        <w:spacing w:before="180" w:after="80"/>
      </w:pPr>
      <w:r>
        <w:rPr>
          <w:b/>
          <w:bCs/>
          <w:color w:val="1F2933"/>
          <w:sz w:val="25"/>
          <w:szCs w:val="25"/>
          <w:rFonts w:ascii="Calibri" w:cs="Calibri" w:eastAsia="Calibri" w:hAnsi="Calibri"/>
        </w:rPr>
        <w:t xml:space="preserve">What macro viruses are</w:t>
      </w:r>
    </w:p>
    <w:p>
      <w:pPr>
        <w:spacing w:after="120" w:line="276"/>
        <w:jc w:val="left"/>
      </w:pPr>
      <w:r>
        <w:rPr>
          <w:b w:val="false"/>
          <w:bCs w:val="false"/>
          <w:i w:val="false"/>
          <w:iCs w:val="false"/>
          <w:color w:val="1F2933"/>
          <w:sz w:val="22"/>
          <w:szCs w:val="22"/>
          <w:rFonts w:ascii="Calibri" w:cs="Calibri" w:eastAsia="Calibri" w:hAnsi="Calibri"/>
        </w:rPr>
        <w:t xml:space="preserve">A macro virus is malicious code written in an application's macro language — most often Microsoft Office VBA (Visual Basic for Applications). It lives inside a document or spreadsheet and runs when the file is opened and macros are enabled, letting it infect other documents, download further malware, or run system commands.</w:t>
      </w:r>
    </w:p>
    <w:p>
      <w:pPr>
        <w:pStyle w:val="Heading2"/>
        <w:spacing w:before="180" w:after="80"/>
      </w:pPr>
      <w:r>
        <w:rPr>
          <w:b/>
          <w:bCs/>
          <w:color w:val="1F2933"/>
          <w:sz w:val="25"/>
          <w:szCs w:val="25"/>
          <w:rFonts w:ascii="Calibri" w:cs="Calibri" w:eastAsia="Calibri" w:hAnsi="Calibri"/>
        </w:rPr>
        <w:t xml:space="preserve">Trend since 2001 and why usage increased after 2012</w:t>
      </w:r>
    </w:p>
    <w:p>
      <w:pPr>
        <w:spacing w:after="120" w:line="276"/>
        <w:jc w:val="left"/>
      </w:pPr>
      <w:r>
        <w:rPr>
          <w:b w:val="false"/>
          <w:bCs w:val="false"/>
          <w:i w:val="false"/>
          <w:iCs w:val="false"/>
          <w:color w:val="1F2933"/>
          <w:sz w:val="22"/>
          <w:szCs w:val="22"/>
          <w:rFonts w:ascii="Calibri" w:cs="Calibri" w:eastAsia="Calibri" w:hAnsi="Calibri"/>
        </w:rPr>
        <w:t xml:space="preserve">The Virus Bulletin analysis (“VBA is not dead”, 2014) shows macro-virus activity was very high in the early 2000s, fell sharply after Microsoft disabled macros by default in Office 2007, then rose again from about 2012. The resurgence happened because:</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Attackers shifted from exploiting software bugs to exploiting people, using convincing phishing emails that persuade users to click “Enable Content.”</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Macros are powerful and cross-version: VBA can download and launch payloads on almost any Windows machine without needing an unpatched vulnerability.</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Macro droppers evade antivirus easily because the document itself is small and the real malware is fetched only after the macro runs.</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Crimeware families such as Dridex and Emotet industrialised macro-based delivery, making it cheap and repeatable at large scale.</w:t>
      </w:r>
    </w:p>
    <w:p>
      <w:pPr>
        <w:pStyle w:val="Heading2"/>
        <w:spacing w:before="180" w:after="80"/>
      </w:pPr>
      <w:r>
        <w:rPr>
          <w:b/>
          <w:bCs/>
          <w:color w:val="1F2933"/>
          <w:sz w:val="25"/>
          <w:szCs w:val="25"/>
          <w:rFonts w:ascii="Calibri" w:cs="Calibri" w:eastAsia="Calibri" w:hAnsi="Calibri"/>
        </w:rPr>
        <w:t xml:space="preserve">How Word and Excel files trick users into running macros</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The document opens showing a blurred or “protected” page with a message like “This document was created in an earlier version of Office — click Enable Content to view it.”</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Lures impersonate invoices, delivery notices, resumes, or HR documents so the victim feels the file is legitimate and work-related.</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Once the user clicks Enable Content (or Enable Macros), the VBA runs immediately with the user's privileges and silently downloads or installs the payload.</w:t>
      </w:r>
    </w:p>
    <w:p>
      <w:pPr>
        <w:pStyle w:val="Heading2"/>
        <w:spacing w:before="180" w:after="80"/>
      </w:pPr>
      <w:r>
        <w:rPr>
          <w:b/>
          <w:bCs/>
          <w:color w:val="1F2933"/>
          <w:sz w:val="25"/>
          <w:szCs w:val="25"/>
          <w:rFonts w:ascii="Calibri" w:cs="Calibri" w:eastAsia="Calibri" w:hAnsi="Calibri"/>
        </w:rPr>
        <w:t xml:space="preserve">Recent malware incidents involving macros</w:t>
      </w:r>
    </w:p>
    <w:p>
      <w:pPr>
        <w:pStyle w:val="ListParagraph"/>
        <w:numPr>
          <w:ilvl w:val="0"/>
          <w:numId w:val="3"/>
        </w:numPr>
        <w:spacing w:after="60" w:line="268"/>
      </w:pPr>
      <w:r>
        <w:rPr>
          <w:b/>
          <w:bCs/>
          <w:i w:val="false"/>
          <w:iCs w:val="false"/>
          <w:color w:val="1F2933"/>
          <w:sz w:val="22"/>
          <w:szCs w:val="22"/>
          <w:rFonts w:ascii="Calibri" w:cs="Calibri" w:eastAsia="Calibri" w:hAnsi="Calibri"/>
        </w:rPr>
        <w:t xml:space="preserve">Emotet </w:t>
      </w:r>
      <w:r>
        <w:rPr>
          <w:b w:val="false"/>
          <w:bCs w:val="false"/>
          <w:i w:val="false"/>
          <w:iCs w:val="false"/>
          <w:color w:val="1F2933"/>
          <w:sz w:val="22"/>
          <w:szCs w:val="22"/>
          <w:rFonts w:ascii="Calibri" w:cs="Calibri" w:eastAsia="Calibri" w:hAnsi="Calibri"/>
        </w:rPr>
        <w:t xml:space="preserve">— spread for years through macro-laden Word attachments; became a major loader for ransomware before its 2021 takedown (and later resurgences).</w:t>
      </w:r>
    </w:p>
    <w:p>
      <w:pPr>
        <w:pStyle w:val="ListParagraph"/>
        <w:numPr>
          <w:ilvl w:val="0"/>
          <w:numId w:val="3"/>
        </w:numPr>
        <w:spacing w:after="60" w:line="268"/>
      </w:pPr>
      <w:r>
        <w:rPr>
          <w:b/>
          <w:bCs/>
          <w:i w:val="false"/>
          <w:iCs w:val="false"/>
          <w:color w:val="1F2933"/>
          <w:sz w:val="22"/>
          <w:szCs w:val="22"/>
          <w:rFonts w:ascii="Calibri" w:cs="Calibri" w:eastAsia="Calibri" w:hAnsi="Calibri"/>
        </w:rPr>
        <w:t xml:space="preserve">Dridex </w:t>
      </w:r>
      <w:r>
        <w:rPr>
          <w:b w:val="false"/>
          <w:bCs w:val="false"/>
          <w:i w:val="false"/>
          <w:iCs w:val="false"/>
          <w:color w:val="1F2933"/>
          <w:sz w:val="22"/>
          <w:szCs w:val="22"/>
          <w:rFonts w:ascii="Calibri" w:cs="Calibri" w:eastAsia="Calibri" w:hAnsi="Calibri"/>
        </w:rPr>
        <w:t xml:space="preserve">— banking trojan delivered by malicious Excel/Word macros to steal online-banking credentials.</w:t>
      </w:r>
    </w:p>
    <w:p>
      <w:pPr>
        <w:pStyle w:val="ListParagraph"/>
        <w:numPr>
          <w:ilvl w:val="0"/>
          <w:numId w:val="3"/>
        </w:numPr>
        <w:spacing w:after="60" w:line="268"/>
      </w:pPr>
      <w:r>
        <w:rPr>
          <w:b/>
          <w:bCs/>
          <w:i w:val="false"/>
          <w:iCs w:val="false"/>
          <w:color w:val="1F2933"/>
          <w:sz w:val="22"/>
          <w:szCs w:val="22"/>
          <w:rFonts w:ascii="Calibri" w:cs="Calibri" w:eastAsia="Calibri" w:hAnsi="Calibri"/>
        </w:rPr>
        <w:t xml:space="preserve">TrickBot and Hancitor </w:t>
      </w:r>
      <w:r>
        <w:rPr>
          <w:b w:val="false"/>
          <w:bCs w:val="false"/>
          <w:i w:val="false"/>
          <w:iCs w:val="false"/>
          <w:color w:val="1F2933"/>
          <w:sz w:val="22"/>
          <w:szCs w:val="22"/>
          <w:rFonts w:ascii="Calibri" w:cs="Calibri" w:eastAsia="Calibri" w:hAnsi="Calibri"/>
        </w:rPr>
        <w:t xml:space="preserve">— further loaders commonly delivered via Office macros that then pulled down additional malware.</w:t>
      </w:r>
    </w:p>
    <w:p>
      <w:pPr>
        <w:pStyle w:val="ListParagraph"/>
        <w:numPr>
          <w:ilvl w:val="0"/>
          <w:numId w:val="3"/>
        </w:numPr>
        <w:spacing w:after="60" w:line="268"/>
      </w:pPr>
      <w:r>
        <w:rPr>
          <w:b/>
          <w:bCs/>
          <w:i w:val="false"/>
          <w:iCs w:val="false"/>
          <w:color w:val="1F2933"/>
          <w:sz w:val="22"/>
          <w:szCs w:val="22"/>
          <w:rFonts w:ascii="Calibri" w:cs="Calibri" w:eastAsia="Calibri" w:hAnsi="Calibri"/>
        </w:rPr>
        <w:t xml:space="preserve">Industry response </w:t>
      </w:r>
      <w:r>
        <w:rPr>
          <w:b w:val="false"/>
          <w:bCs w:val="false"/>
          <w:i w:val="false"/>
          <w:iCs w:val="false"/>
          <w:color w:val="1F2933"/>
          <w:sz w:val="22"/>
          <w:szCs w:val="22"/>
          <w:rFonts w:ascii="Calibri" w:cs="Calibri" w:eastAsia="Calibri" w:hAnsi="Calibri"/>
        </w:rPr>
        <w:t xml:space="preserve">— in 2022 Microsoft began blocking macros by default in Office files downloaded from the internet, which measurably reduced macro-based attacks and pushed attackers toward other file types (ISO, LNK, OneNote).</w:t>
      </w:r>
    </w:p>
    <w:p>
      <w:pPr>
        <w:pStyle w:val="Heading2"/>
        <w:spacing w:before="180" w:after="80"/>
      </w:pPr>
      <w:r>
        <w:rPr>
          <w:b/>
          <w:bCs/>
          <w:color w:val="1F2933"/>
          <w:sz w:val="25"/>
          <w:szCs w:val="25"/>
          <w:rFonts w:ascii="Calibri" w:cs="Calibri" w:eastAsia="Calibri" w:hAnsi="Calibri"/>
        </w:rPr>
        <w:t xml:space="preserve">Ethical reflection on searching “how to create a macro virus”</w:t>
      </w:r>
    </w:p>
    <w:p>
      <w:pPr>
        <w:spacing w:after="120" w:line="276"/>
        <w:jc w:val="left"/>
      </w:pPr>
      <w:r>
        <w:rPr>
          <w:b w:val="false"/>
          <w:bCs w:val="false"/>
          <w:i w:val="false"/>
          <w:iCs w:val="false"/>
          <w:color w:val="1F2933"/>
          <w:sz w:val="22"/>
          <w:szCs w:val="22"/>
          <w:rFonts w:ascii="Calibri" w:cs="Calibri" w:eastAsia="Calibri" w:hAnsi="Calibri"/>
        </w:rPr>
        <w:t xml:space="preserve">A search returns both legitimate educational material (how macros work, how defenders analyse malicious VBA) and genuinely harmful step-by-step malware tutorials. This raises a real dual-use problem: the same information that helps security students and defenders also lowers the barrier for would-be attackers. The responsible position is that understanding the technique is necessary for defence, but writing or distributing working malware — or using it outside an authorised, isolated lab — is unethical and in most places illegal. Knowledge should be used to detect, analyse, and block macro malware, not to create it.</w:t>
      </w:r>
    </w:p>
    <w:p>
      <w:pPr>
        <w:pStyle w:val="Heading2"/>
        <w:spacing w:before="180" w:after="80"/>
      </w:pPr>
      <w:r>
        <w:rPr>
          <w:b/>
          <w:bCs/>
          <w:color w:val="1F2933"/>
          <w:sz w:val="25"/>
          <w:szCs w:val="25"/>
          <w:rFonts w:ascii="Calibri" w:cs="Calibri" w:eastAsia="Calibri" w:hAnsi="Calibri"/>
        </w:rPr>
        <w:t xml:space="preserve">Summary</w:t>
      </w:r>
    </w:p>
    <w:p>
      <w:pPr>
        <w:spacing w:after="120" w:line="276"/>
        <w:jc w:val="left"/>
      </w:pPr>
      <w:r>
        <w:rPr>
          <w:b w:val="false"/>
          <w:bCs w:val="false"/>
          <w:i w:val="false"/>
          <w:iCs w:val="false"/>
          <w:color w:val="1F2933"/>
          <w:sz w:val="22"/>
          <w:szCs w:val="22"/>
          <w:rFonts w:ascii="Calibri" w:cs="Calibri" w:eastAsia="Calibri" w:hAnsi="Calibri"/>
        </w:rPr>
        <w:t xml:space="preserve">Macro viruses remain a relevant threat because they exploit human trust rather than software flaws, work across Office versions, and evade detection. Defences are straightforward but essential: keep macros disabled by default, block macros in internet-sourced files, train users not to click “Enable Content,” and use email filtering and endpoint protection.</w:t>
      </w:r>
    </w:p>
    <w:p>
      <w:pPr>
        <w:pStyle w:val="Heading1"/>
        <w:spacing w:before="240" w:after="120"/>
      </w:pPr>
      <w:r>
        <w:rPr>
          <w:b/>
          <w:bCs/>
          <w:color w:val="1D4ED8"/>
          <w:sz w:val="30"/>
          <w:szCs w:val="30"/>
          <w:rFonts w:ascii="Calibri" w:cs="Calibri" w:eastAsia="Calibri" w:hAnsi="Calibri"/>
        </w:rPr>
        <w:t xml:space="preserve">Activity 2 — Analyzing the Stuxnet Worm</w:t>
      </w:r>
    </w:p>
    <w:p>
      <w:pPr>
        <w:pStyle w:val="Heading2"/>
        <w:spacing w:before="180" w:after="80"/>
      </w:pPr>
      <w:r>
        <w:rPr>
          <w:b/>
          <w:bCs/>
          <w:color w:val="1F2933"/>
          <w:sz w:val="25"/>
          <w:szCs w:val="25"/>
          <w:rFonts w:ascii="Calibri" w:cs="Calibri" w:eastAsia="Calibri" w:hAnsi="Calibri"/>
        </w:rPr>
        <w:t xml:space="preserve">Overview</w:t>
      </w:r>
    </w:p>
    <w:p>
      <w:pPr>
        <w:spacing w:after="120" w:line="276"/>
        <w:jc w:val="left"/>
      </w:pPr>
      <w:r>
        <w:rPr>
          <w:b w:val="false"/>
          <w:bCs w:val="false"/>
          <w:i w:val="false"/>
          <w:iCs w:val="false"/>
          <w:color w:val="1F2933"/>
          <w:sz w:val="22"/>
          <w:szCs w:val="22"/>
          <w:rFonts w:ascii="Calibri" w:cs="Calibri" w:eastAsia="Calibri" w:hAnsi="Calibri"/>
        </w:rPr>
        <w:t xml:space="preserve">Stuxnet, discovered in 2010, was a highly sophisticated worm widely assessed to be a nation-state cyber-weapon. It was designed not to steal data but to physically damage a specific industrial process: the uranium-enrichment centrifuges at Iran's Natanz facility, controlled by Siemens programmable logic controllers (PLCs).</w:t>
      </w:r>
    </w:p>
    <w:p>
      <w:pPr>
        <w:pStyle w:val="Heading2"/>
        <w:spacing w:before="180" w:after="80"/>
      </w:pPr>
      <w:r>
        <w:rPr>
          <w:b/>
          <w:bCs/>
          <w:color w:val="1F2933"/>
          <w:sz w:val="25"/>
          <w:szCs w:val="25"/>
          <w:rFonts w:ascii="Calibri" w:cs="Calibri" w:eastAsia="Calibri" w:hAnsi="Calibri"/>
        </w:rPr>
        <w:t xml:space="preserve">Vulnerabilities exploited</w:t>
      </w:r>
    </w:p>
    <w:p>
      <w:pPr>
        <w:spacing w:after="120" w:line="276"/>
        <w:jc w:val="left"/>
      </w:pPr>
      <w:r>
        <w:rPr>
          <w:b w:val="false"/>
          <w:bCs w:val="false"/>
          <w:i w:val="false"/>
          <w:iCs w:val="false"/>
          <w:color w:val="1F2933"/>
          <w:sz w:val="22"/>
          <w:szCs w:val="22"/>
          <w:rFonts w:ascii="Calibri" w:cs="Calibri" w:eastAsia="Calibri" w:hAnsi="Calibri"/>
        </w:rPr>
        <w:t xml:space="preserve">Stuxnet was remarkable for chaining four Windows zero-day vulnerabilities, which is extremely rare:</w:t>
      </w:r>
    </w:p>
    <w:p>
      <w:pPr>
        <w:pStyle w:val="ListParagraph"/>
        <w:numPr>
          <w:ilvl w:val="0"/>
          <w:numId w:val="3"/>
        </w:numPr>
        <w:spacing w:after="60" w:line="268"/>
      </w:pPr>
      <w:r>
        <w:rPr>
          <w:b/>
          <w:bCs/>
          <w:i w:val="false"/>
          <w:iCs w:val="false"/>
          <w:color w:val="1F2933"/>
          <w:sz w:val="22"/>
          <w:szCs w:val="22"/>
          <w:rFonts w:ascii="Calibri" w:cs="Calibri" w:eastAsia="Calibri" w:hAnsi="Calibri"/>
        </w:rPr>
        <w:t xml:space="preserve">LNK shortcut vulnerability (CVE-2010-2568) </w:t>
      </w:r>
      <w:r>
        <w:rPr>
          <w:b w:val="false"/>
          <w:bCs w:val="false"/>
          <w:i w:val="false"/>
          <w:iCs w:val="false"/>
          <w:color w:val="1F2933"/>
          <w:sz w:val="22"/>
          <w:szCs w:val="22"/>
          <w:rFonts w:ascii="Calibri" w:cs="Calibri" w:eastAsia="Calibri" w:hAnsi="Calibri"/>
        </w:rPr>
        <w:t xml:space="preserve">— automatic code execution when a folder containing a crafted shortcut was merely viewed, used for USB spread.</w:t>
      </w:r>
    </w:p>
    <w:p>
      <w:pPr>
        <w:pStyle w:val="ListParagraph"/>
        <w:numPr>
          <w:ilvl w:val="0"/>
          <w:numId w:val="3"/>
        </w:numPr>
        <w:spacing w:after="60" w:line="268"/>
      </w:pPr>
      <w:r>
        <w:rPr>
          <w:b/>
          <w:bCs/>
          <w:i w:val="false"/>
          <w:iCs w:val="false"/>
          <w:color w:val="1F2933"/>
          <w:sz w:val="22"/>
          <w:szCs w:val="22"/>
          <w:rFonts w:ascii="Calibri" w:cs="Calibri" w:eastAsia="Calibri" w:hAnsi="Calibri"/>
        </w:rPr>
        <w:t xml:space="preserve">Print Spooler vulnerability (CVE-2010-2729) </w:t>
      </w:r>
      <w:r>
        <w:rPr>
          <w:b w:val="false"/>
          <w:bCs w:val="false"/>
          <w:i w:val="false"/>
          <w:iCs w:val="false"/>
          <w:color w:val="1F2933"/>
          <w:sz w:val="22"/>
          <w:szCs w:val="22"/>
          <w:rFonts w:ascii="Calibri" w:cs="Calibri" w:eastAsia="Calibri" w:hAnsi="Calibri"/>
        </w:rPr>
        <w:t xml:space="preserve">— used to spread across networked machines that shared a printer.</w:t>
      </w:r>
    </w:p>
    <w:p>
      <w:pPr>
        <w:pStyle w:val="ListParagraph"/>
        <w:numPr>
          <w:ilvl w:val="0"/>
          <w:numId w:val="3"/>
        </w:numPr>
        <w:spacing w:after="60" w:line="268"/>
      </w:pPr>
      <w:r>
        <w:rPr>
          <w:b/>
          <w:bCs/>
          <w:i w:val="false"/>
          <w:iCs w:val="false"/>
          <w:color w:val="1F2933"/>
          <w:sz w:val="22"/>
          <w:szCs w:val="22"/>
          <w:rFonts w:ascii="Calibri" w:cs="Calibri" w:eastAsia="Calibri" w:hAnsi="Calibri"/>
        </w:rPr>
        <w:t xml:space="preserve">Two local privilege-escalation flaws </w:t>
      </w:r>
      <w:r>
        <w:rPr>
          <w:b w:val="false"/>
          <w:bCs w:val="false"/>
          <w:i w:val="false"/>
          <w:iCs w:val="false"/>
          <w:color w:val="1F2933"/>
          <w:sz w:val="22"/>
          <w:szCs w:val="22"/>
          <w:rFonts w:ascii="Calibri" w:cs="Calibri" w:eastAsia="Calibri" w:hAnsi="Calibri"/>
        </w:rPr>
        <w:t xml:space="preserve">(in the Windows keyboard-layout and Task Scheduler handling) to gain SYSTEM rights on both older and newer Windows.</w:t>
      </w:r>
    </w:p>
    <w:p>
      <w:pPr>
        <w:pStyle w:val="ListParagraph"/>
        <w:numPr>
          <w:ilvl w:val="0"/>
          <w:numId w:val="3"/>
        </w:numPr>
        <w:spacing w:after="60" w:line="268"/>
      </w:pPr>
      <w:r>
        <w:rPr>
          <w:b/>
          <w:bCs/>
          <w:i w:val="false"/>
          <w:iCs w:val="false"/>
          <w:color w:val="1F2933"/>
          <w:sz w:val="22"/>
          <w:szCs w:val="22"/>
          <w:rFonts w:ascii="Calibri" w:cs="Calibri" w:eastAsia="Calibri" w:hAnsi="Calibri"/>
        </w:rPr>
        <w:t xml:space="preserve">Siemens WinCC/Step7 hard-coded credentials </w:t>
      </w:r>
      <w:r>
        <w:rPr>
          <w:b w:val="false"/>
          <w:bCs w:val="false"/>
          <w:i w:val="false"/>
          <w:iCs w:val="false"/>
          <w:color w:val="1F2933"/>
          <w:sz w:val="22"/>
          <w:szCs w:val="22"/>
          <w:rFonts w:ascii="Calibri" w:cs="Calibri" w:eastAsia="Calibri" w:hAnsi="Calibri"/>
        </w:rPr>
        <w:t xml:space="preserve">— a default/hard-coded database password let it interact with the industrial control software.</w:t>
      </w:r>
    </w:p>
    <w:p>
      <w:pPr>
        <w:spacing w:after="120" w:line="276"/>
        <w:jc w:val="left"/>
      </w:pPr>
      <w:r>
        <w:rPr>
          <w:b w:val="false"/>
          <w:bCs w:val="false"/>
          <w:i w:val="false"/>
          <w:iCs w:val="false"/>
          <w:color w:val="1F2933"/>
          <w:sz w:val="22"/>
          <w:szCs w:val="22"/>
          <w:rFonts w:ascii="Calibri" w:cs="Calibri" w:eastAsia="Calibri" w:hAnsi="Calibri"/>
        </w:rPr>
        <w:t xml:space="preserve">It also used two stolen, legitimate digital certificates (Realtek and JMicron) to sign its drivers so they appeared trustworthy to Windows.</w:t>
      </w:r>
    </w:p>
    <w:p>
      <w:pPr>
        <w:pStyle w:val="Heading2"/>
        <w:spacing w:before="180" w:after="80"/>
      </w:pPr>
      <w:r>
        <w:rPr>
          <w:b/>
          <w:bCs/>
          <w:color w:val="1F2933"/>
          <w:sz w:val="25"/>
          <w:szCs w:val="25"/>
          <w:rFonts w:ascii="Calibri" w:cs="Calibri" w:eastAsia="Calibri" w:hAnsi="Calibri"/>
        </w:rPr>
        <w:t xml:space="preserve">How it propagated</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Primarily via infected USB flash drives — the key method for crossing into the “air-gapped” Natanz network that was not connected to the internet.</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Across local networks through the Print Spooler flaw and Windows network shares.</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By infecting Siemens Step7 project files and the WinCC database, so the worm travelled with engineering files.</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Through a peer-to-peer mechanism that let infected machines update each other to the newest version of the worm.</w:t>
      </w:r>
    </w:p>
    <w:p>
      <w:pPr>
        <w:pStyle w:val="Heading2"/>
        <w:spacing w:before="180" w:after="80"/>
      </w:pPr>
      <w:r>
        <w:rPr>
          <w:b/>
          <w:bCs/>
          <w:color w:val="1F2933"/>
          <w:sz w:val="25"/>
          <w:szCs w:val="25"/>
          <w:rFonts w:ascii="Calibri" w:cs="Calibri" w:eastAsia="Calibri" w:hAnsi="Calibri"/>
        </w:rPr>
        <w:t xml:space="preserve">Targets</w:t>
      </w:r>
    </w:p>
    <w:p>
      <w:pPr>
        <w:spacing w:after="120" w:line="276"/>
        <w:jc w:val="left"/>
      </w:pPr>
      <w:r>
        <w:rPr>
          <w:b w:val="false"/>
          <w:bCs w:val="false"/>
          <w:i w:val="false"/>
          <w:iCs w:val="false"/>
          <w:color w:val="1F2933"/>
          <w:sz w:val="22"/>
          <w:szCs w:val="22"/>
          <w:rFonts w:ascii="Calibri" w:cs="Calibri" w:eastAsia="Calibri" w:hAnsi="Calibri"/>
        </w:rPr>
        <w:t xml:space="preserve">Stuxnet was extremely specific. It only activated its payload when it found Siemens S7-300/S7-400 PLCs driving variable-frequency drives running at the exact frequencies used by uranium-enrichment centrifuges. The vast majority of infections were in Iran, with Natanz the intended target; on ordinary PCs the worm stayed dormant and did no damage.</w:t>
      </w:r>
    </w:p>
    <w:p>
      <w:pPr>
        <w:pStyle w:val="Heading2"/>
        <w:spacing w:before="180" w:after="80"/>
      </w:pPr>
      <w:r>
        <w:rPr>
          <w:b/>
          <w:bCs/>
          <w:color w:val="1F2933"/>
          <w:sz w:val="25"/>
          <w:szCs w:val="25"/>
          <w:rFonts w:ascii="Calibri" w:cs="Calibri" w:eastAsia="Calibri" w:hAnsi="Calibri"/>
        </w:rPr>
        <w:t xml:space="preserve">How it caused physical damage</w:t>
      </w:r>
    </w:p>
    <w:p>
      <w:pPr>
        <w:spacing w:after="120" w:line="276"/>
        <w:jc w:val="left"/>
      </w:pPr>
      <w:r>
        <w:rPr>
          <w:b w:val="false"/>
          <w:bCs w:val="false"/>
          <w:i w:val="false"/>
          <w:iCs w:val="false"/>
          <w:color w:val="1F2933"/>
          <w:sz w:val="22"/>
          <w:szCs w:val="22"/>
          <w:rFonts w:ascii="Calibri" w:cs="Calibri" w:eastAsia="Calibri" w:hAnsi="Calibri"/>
        </w:rPr>
        <w:t xml:space="preserve">Once it identified the target PLCs, Stuxnet quietly altered the rotational speed of the centrifuges — spinning them too fast and then too slow — which caused mechanical stress and destroyed a significant number of them. Crucially, it recorded normal operating data beforehand and replayed it to the monitoring systems, so operators saw “normal” readings while the equipment was being wrecked. This is an early example of a cyber-physical attack and of a man-in-the-middle manipulation of industrial sensor data.</w:t>
      </w:r>
    </w:p>
    <w:p>
      <w:pPr>
        <w:pStyle w:val="Heading2"/>
        <w:spacing w:before="180" w:after="80"/>
      </w:pPr>
      <w:r>
        <w:rPr>
          <w:b/>
          <w:bCs/>
          <w:color w:val="1F2933"/>
          <w:sz w:val="25"/>
          <w:szCs w:val="25"/>
          <w:rFonts w:ascii="Calibri" w:cs="Calibri" w:eastAsia="Calibri" w:hAnsi="Calibri"/>
        </w:rPr>
        <w:t xml:space="preserve">Lessons for protecting critical infrastructure</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Air-gaps are not absolute: removable media and the supply chain can bridge isolated networks, so USB control and device whitelisting matter.</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Operational Technology (OT) must be monitored for anomalous behaviour, not just IT networks; sensor data integrity needs verification.</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Patch and harden ICS/SCADA systems, remove default and hard-coded credentials, and segment OT from IT networks.</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Defence in depth is essential because a determined, well-resourced attacker will chain multiple techniques; history (as the activity notes) often repeats itself.</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DD6" w:sz="4" w:space="4"/>
      </w:pBdr>
      <w:jc w:val="center"/>
    </w:pPr>
    <w:r>
      <w:rPr>
        <w:color w:val="7B8794"/>
        <w:sz w:val="16"/>
        <w:szCs w:val="16"/>
      </w:rPr>
      <w:t xml:space="preserve">MD Ala Uddin  •  </w:t>
    </w:r>
    <w:r>
      <w:rPr>
        <w:color w:val="7B879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3"/>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Deliverable</dc:title>
  <dc:creator>MD Ala Uddin</dc:creator>
  <cp:lastModifiedBy>Un-named</cp:lastModifiedBy>
  <cp:revision>1</cp:revision>
  <dcterms:created xsi:type="dcterms:W3CDTF">2026-10-16T10:08:07.913Z</dcterms:created>
  <dcterms:modified xsi:type="dcterms:W3CDTF">2026-10-16T10:08:07.914Z</dcterms:modified>
</cp:coreProperties>
</file>

<file path=docProps/custom.xml><?xml version="1.0" encoding="utf-8"?>
<Properties xmlns="http://schemas.openxmlformats.org/officeDocument/2006/custom-properties" xmlns:vt="http://schemas.openxmlformats.org/officeDocument/2006/docPropsVTypes"/>
</file>