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4ED8" w:sz="12" w:space="6"/>
        </w:pBdr>
        <w:spacing w:after="40"/>
      </w:pPr>
      <w:r>
        <w:rPr>
          <w:b/>
          <w:bCs/>
          <w:color w:val="1F2933"/>
          <w:sz w:val="40"/>
          <w:szCs w:val="40"/>
          <w:rFonts w:ascii="Calibri" w:cs="Calibri" w:eastAsia="Calibri" w:hAnsi="Calibri"/>
        </w:rPr>
        <w:t xml:space="preserve">Week 7 — Denial of Service Attacks</w:t>
      </w:r>
    </w:p>
    <w:p>
      <w:pPr>
        <w:spacing w:after="120"/>
      </w:pPr>
      <w:r>
        <w:rPr>
          <w:i/>
          <w:iCs/>
          <w:color w:val="52606D"/>
          <w:sz w:val="23"/>
          <w:szCs w:val="23"/>
        </w:rPr>
        <w:t xml:space="preserve">Research report: incidents, attacker tools, and mitigation strategies</w:t>
      </w:r>
    </w:p>
    <w:p>
      <w:pPr>
        <w:spacing w:after="40"/>
      </w:pPr>
      <w:r>
        <w:rPr>
          <w:b/>
          <w:bCs/>
          <w:color w:val="1F2933"/>
          <w:sz w:val="21"/>
          <w:szCs w:val="21"/>
        </w:rPr>
        <w:t xml:space="preserve">Student: </w:t>
      </w:r>
      <w:r>
        <w:rPr>
          <w:color w:val="1F2933"/>
          <w:sz w:val="21"/>
          <w:szCs w:val="21"/>
        </w:rPr>
        <w:t xml:space="preserve">MD Ala Uddin    </w:t>
      </w:r>
      <w:r>
        <w:rPr>
          <w:b/>
          <w:bCs/>
          <w:color w:val="1F2933"/>
          <w:sz w:val="21"/>
          <w:szCs w:val="21"/>
        </w:rPr>
        <w:t xml:space="preserve">Student ID: </w:t>
      </w:r>
      <w:r>
        <w:rPr>
          <w:color w:val="1F2933"/>
          <w:sz w:val="21"/>
          <w:szCs w:val="21"/>
        </w:rPr>
        <w:t xml:space="preserve">64310…</w:t>
      </w:r>
    </w:p>
    <w:p>
      <w:pPr>
        <w:spacing w:after="240"/>
      </w:pPr>
      <w:r>
        <w:rPr>
          <w:b/>
          <w:bCs/>
          <w:color w:val="1F2933"/>
          <w:sz w:val="21"/>
          <w:szCs w:val="21"/>
        </w:rPr>
        <w:t xml:space="preserve">Course: </w:t>
      </w:r>
      <w:r>
        <w:rPr>
          <w:color w:val="1F2933"/>
          <w:sz w:val="21"/>
          <w:szCs w:val="21"/>
        </w:rPr>
        <w:t xml:space="preserve">ITSC3006R — Security Testing &amp; Ethical Hacking</w:t>
      </w:r>
    </w:p>
    <w:p>
      <w:pPr>
        <w:pStyle w:val="Heading1"/>
        <w:spacing w:before="240" w:after="120"/>
      </w:pPr>
      <w:r>
        <w:rPr>
          <w:b/>
          <w:bCs/>
          <w:color w:val="1D4ED8"/>
          <w:sz w:val="30"/>
          <w:szCs w:val="30"/>
          <w:rFonts w:ascii="Calibri" w:cs="Calibri" w:eastAsia="Calibri" w:hAnsi="Calibri"/>
        </w:rPr>
        <w:t xml:space="preserve">Task 1 — A Recent DoS/DDoS Incident</w:t>
      </w:r>
    </w:p>
    <w:p>
      <w:pPr>
        <w:pStyle w:val="Heading2"/>
        <w:spacing w:before="180" w:after="80"/>
      </w:pPr>
      <w:r>
        <w:rPr>
          <w:b/>
          <w:bCs/>
          <w:color w:val="1F2933"/>
          <w:sz w:val="25"/>
          <w:szCs w:val="25"/>
          <w:rFonts w:ascii="Calibri" w:cs="Calibri" w:eastAsia="Calibri" w:hAnsi="Calibri"/>
        </w:rPr>
        <w:t xml:space="preserve">Incident: the February 2018 GitHub Memcached amplification attack</w:t>
      </w:r>
    </w:p>
    <w:p>
      <w:pPr>
        <w:spacing w:after="120" w:line="276"/>
        <w:jc w:val="left"/>
      </w:pPr>
      <w:r>
        <w:rPr>
          <w:b/>
          <w:bCs/>
          <w:i w:val="false"/>
          <w:iCs w:val="false"/>
          <w:color w:val="1F2933"/>
          <w:sz w:val="22"/>
          <w:szCs w:val="22"/>
          <w:rFonts w:ascii="Calibri" w:cs="Calibri" w:eastAsia="Calibri" w:hAnsi="Calibri"/>
        </w:rPr>
        <w:t xml:space="preserve">Target organisation. </w:t>
      </w:r>
      <w:r>
        <w:rPr>
          <w:b w:val="false"/>
          <w:bCs w:val="false"/>
          <w:i w:val="false"/>
          <w:iCs w:val="false"/>
          <w:color w:val="1F2933"/>
          <w:sz w:val="22"/>
          <w:szCs w:val="22"/>
          <w:rFonts w:ascii="Calibri" w:cs="Calibri" w:eastAsia="Calibri" w:hAnsi="Calibri"/>
        </w:rPr>
        <w:t xml:space="preserve">GitHub, the world's largest source-code hosting platform, used by millions of developers and organisations.</w:t>
      </w:r>
    </w:p>
    <w:p>
      <w:pPr>
        <w:spacing w:after="120" w:line="276"/>
        <w:jc w:val="left"/>
      </w:pPr>
      <w:r>
        <w:rPr>
          <w:b/>
          <w:bCs/>
          <w:i w:val="false"/>
          <w:iCs w:val="false"/>
          <w:color w:val="1F2933"/>
          <w:sz w:val="22"/>
          <w:szCs w:val="22"/>
          <w:rFonts w:ascii="Calibri" w:cs="Calibri" w:eastAsia="Calibri" w:hAnsi="Calibri"/>
        </w:rPr>
        <w:t xml:space="preserve">Type of attack. </w:t>
      </w:r>
      <w:r>
        <w:rPr>
          <w:b w:val="false"/>
          <w:bCs w:val="false"/>
          <w:i w:val="false"/>
          <w:iCs w:val="false"/>
          <w:color w:val="1F2933"/>
          <w:sz w:val="22"/>
          <w:szCs w:val="22"/>
          <w:rFonts w:ascii="Calibri" w:cs="Calibri" w:eastAsia="Calibri" w:hAnsi="Calibri"/>
        </w:rPr>
        <w:t xml:space="preserve">A volumetric Distributed Denial of Service (DDoS) using Memcached reflection and amplification. Attackers spoofed GitHub's IP address and sent small UDP requests (around 15 bytes) to thousands of exposed, mis-configured Memcached servers on UDP port 11211. Each server replied to the spoofed victim with a response up to roughly 50,000 times larger, producing an amplification factor high enough to generate 1.35 Tbps of traffic at its peak — one of the largest attacks recorded at the time.</w:t>
      </w:r>
    </w:p>
    <w:p>
      <w:pPr>
        <w:spacing w:after="120" w:line="276"/>
        <w:jc w:val="left"/>
      </w:pPr>
      <w:r>
        <w:rPr>
          <w:b/>
          <w:bCs/>
          <w:i w:val="false"/>
          <w:iCs w:val="false"/>
          <w:color w:val="1F2933"/>
          <w:sz w:val="22"/>
          <w:szCs w:val="22"/>
          <w:rFonts w:ascii="Calibri" w:cs="Calibri" w:eastAsia="Calibri" w:hAnsi="Calibri"/>
        </w:rPr>
        <w:t xml:space="preserve">Impact on users and business. </w:t>
      </w:r>
      <w:r>
        <w:rPr>
          <w:b w:val="false"/>
          <w:bCs w:val="false"/>
          <w:i w:val="false"/>
          <w:iCs w:val="false"/>
          <w:color w:val="1F2933"/>
          <w:sz w:val="22"/>
          <w:szCs w:val="22"/>
          <w:rFonts w:ascii="Calibri" w:cs="Calibri" w:eastAsia="Calibri" w:hAnsi="Calibri"/>
        </w:rPr>
        <w:t xml:space="preserve">GitHub was intermittently unavailable for about 8–10 minutes. Developers worldwide could not push, pull, or access repositories during the disruption. GitHub detected the flood automatically and rerouted all traffic through its DDoS mitigation provider (Akamai Prolexic), which scrubbed the malicious traffic. The event showed how a single under-secured internet service (Memcached with no authentication, exposed to the internet) can be weaponised against a well-defended target.</w:t>
      </w:r>
    </w:p>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A second well-known example is the October 2016 Dyn DNS attack, where the Mirai botnet of compromised IoT devices (cameras, routers, DVRs) flooded Dyn's managed DNS, knocking Twitter, Spotify, Reddit, and Netflix offline for hours across the US east coast.</w:t>
      </w:r>
    </w:p>
    <w:p>
      <w:pPr>
        <w:spacing w:after="120" w:line="276"/>
        <w:jc w:val="left"/>
      </w:pPr>
      <w:r>
        <w:rPr>
          <w:b/>
          <w:bCs/>
          <w:i w:val="false"/>
          <w:iCs w:val="false"/>
          <w:color w:val="1F2933"/>
          <w:sz w:val="22"/>
          <w:szCs w:val="22"/>
          <w:rFonts w:ascii="Calibri" w:cs="Calibri" w:eastAsia="Calibri" w:hAnsi="Calibri"/>
        </w:rPr>
        <w:t xml:space="preserve">Summary. </w:t>
      </w:r>
      <w:r>
        <w:rPr>
          <w:b w:val="false"/>
          <w:bCs w:val="false"/>
          <w:i w:val="false"/>
          <w:iCs w:val="false"/>
          <w:color w:val="1F2933"/>
          <w:sz w:val="22"/>
          <w:szCs w:val="22"/>
          <w:rFonts w:ascii="Calibri" w:cs="Calibri" w:eastAsia="Calibri" w:hAnsi="Calibri"/>
        </w:rPr>
        <w:t xml:space="preserve">Both incidents disrupted major services without breaching data. They illustrate the two dominant DDoS patterns: reflection/amplification abusing open internet services, and botnet-driven floods from large numbers of compromised devices.</w:t>
      </w:r>
    </w:p>
    <w:p>
      <w:pPr>
        <w:pStyle w:val="Heading1"/>
        <w:spacing w:before="240" w:after="120"/>
      </w:pPr>
      <w:r>
        <w:rPr>
          <w:b/>
          <w:bCs/>
          <w:color w:val="1D4ED8"/>
          <w:sz w:val="30"/>
          <w:szCs w:val="30"/>
          <w:rFonts w:ascii="Calibri" w:cs="Calibri" w:eastAsia="Calibri" w:hAnsi="Calibri"/>
        </w:rPr>
        <w:t xml:space="preserve">Task 2 — DoS/DDoS Tools Compared</w:t>
      </w:r>
    </w:p>
    <w:p>
      <w:pPr>
        <w:spacing w:after="120" w:line="276"/>
        <w:jc w:val="left"/>
      </w:pPr>
      <w:r>
        <w:rPr>
          <w:b w:val="false"/>
          <w:bCs w:val="false"/>
          <w:i w:val="false"/>
          <w:iCs w:val="false"/>
          <w:color w:val="1F2933"/>
          <w:sz w:val="22"/>
          <w:szCs w:val="22"/>
          <w:rFonts w:ascii="Calibri" w:cs="Calibri" w:eastAsia="Calibri" w:hAnsi="Calibri"/>
        </w:rPr>
        <w:t xml:space="preserve">The tools below are studied here only to understand attacker techniques and build defences. The comparison summarises each tool's purpose, attack method, and how defenders detect or mitigate it.</w:t>
      </w:r>
    </w:p>
    <w:tbl>
      <w:tblPr>
        <w:tblW w:type="dxa" w:w="9360"/>
        <w:tblBorders>
          <w:top w:val="single" w:color="C7CDD6" w:sz="4"/>
          <w:left w:val="single" w:color="C7CDD6" w:sz="4"/>
          <w:bottom w:val="single" w:color="C7CDD6" w:sz="4"/>
          <w:right w:val="single" w:color="C7CDD6" w:sz="4"/>
          <w:insideH w:val="single" w:color="C7CDD6" w:sz="4"/>
          <w:insideV w:val="single" w:color="C7CDD6" w:sz="4"/>
        </w:tblBorders>
      </w:tblPr>
      <w:tblGrid>
        <w:gridCol w:w="1900"/>
        <w:gridCol w:w="2400"/>
        <w:gridCol w:w="2560"/>
        <w:gridCol w:w="2500"/>
      </w:tblGrid>
      <w:tr>
        <w:trPr>
          <w:tblHeader/>
        </w:trPr>
        <w:tc>
          <w:tcPr>
            <w:tcW w:type="dxa" w:w="1900"/>
            <w:shd w:fill="1D4ED8" w:color="auto" w:val="clear"/>
            <w:tcMar>
              <w:top w:type="dxa" w:w="60"/>
              <w:left w:type="dxa" w:w="90"/>
              <w:bottom w:type="dxa" w:w="60"/>
              <w:right w:type="dxa" w:w="90"/>
            </w:tcMar>
          </w:tcPr>
          <w:p>
            <w:r>
              <w:rPr>
                <w:b/>
                <w:bCs/>
                <w:color w:val="FFFFFF"/>
                <w:sz w:val="21"/>
                <w:szCs w:val="21"/>
              </w:rPr>
              <w:t xml:space="preserve">Tool</w:t>
            </w:r>
          </w:p>
        </w:tc>
        <w:tc>
          <w:tcPr>
            <w:tcW w:type="dxa" w:w="2400"/>
            <w:shd w:fill="1D4ED8" w:color="auto" w:val="clear"/>
            <w:tcMar>
              <w:top w:type="dxa" w:w="60"/>
              <w:left w:type="dxa" w:w="90"/>
              <w:bottom w:type="dxa" w:w="60"/>
              <w:right w:type="dxa" w:w="90"/>
            </w:tcMar>
          </w:tcPr>
          <w:p>
            <w:r>
              <w:rPr>
                <w:b/>
                <w:bCs/>
                <w:color w:val="FFFFFF"/>
                <w:sz w:val="21"/>
                <w:szCs w:val="21"/>
              </w:rPr>
              <w:t xml:space="preserve">Purpose</w:t>
            </w:r>
          </w:p>
        </w:tc>
        <w:tc>
          <w:tcPr>
            <w:tcW w:type="dxa" w:w="2560"/>
            <w:shd w:fill="1D4ED8" w:color="auto" w:val="clear"/>
            <w:tcMar>
              <w:top w:type="dxa" w:w="60"/>
              <w:left w:type="dxa" w:w="90"/>
              <w:bottom w:type="dxa" w:w="60"/>
              <w:right w:type="dxa" w:w="90"/>
            </w:tcMar>
          </w:tcPr>
          <w:p>
            <w:r>
              <w:rPr>
                <w:b/>
                <w:bCs/>
                <w:color w:val="FFFFFF"/>
                <w:sz w:val="21"/>
                <w:szCs w:val="21"/>
              </w:rPr>
              <w:t xml:space="preserve">Attack method</w:t>
            </w:r>
          </w:p>
        </w:tc>
        <w:tc>
          <w:tcPr>
            <w:tcW w:type="dxa" w:w="2500"/>
            <w:shd w:fill="1D4ED8" w:color="auto" w:val="clear"/>
            <w:tcMar>
              <w:top w:type="dxa" w:w="60"/>
              <w:left w:type="dxa" w:w="90"/>
              <w:bottom w:type="dxa" w:w="60"/>
              <w:right w:type="dxa" w:w="90"/>
            </w:tcMar>
          </w:tcPr>
          <w:p>
            <w:r>
              <w:rPr>
                <w:b/>
                <w:bCs/>
                <w:color w:val="FFFFFF"/>
                <w:sz w:val="21"/>
                <w:szCs w:val="21"/>
              </w:rPr>
              <w:t xml:space="preserve">Detection &amp; mitigation</w:t>
            </w:r>
          </w:p>
        </w:tc>
      </w:tr>
      <w:tr>
        <w:tc>
          <w:tcPr>
            <w:tcW w:type="dxa" w:w="1900"/>
            <w:tcMar>
              <w:top w:type="dxa" w:w="50"/>
              <w:left w:type="dxa" w:w="90"/>
              <w:bottom w:type="dxa" w:w="50"/>
              <w:right w:type="dxa" w:w="90"/>
            </w:tcMar>
          </w:tcPr>
          <w:p>
            <w:pPr>
              <w:spacing w:after="20"/>
            </w:pPr>
            <w:r>
              <w:rPr>
                <w:color w:val="1F2933"/>
                <w:sz w:val="20"/>
                <w:szCs w:val="20"/>
              </w:rPr>
              <w:t xml:space="preserve">LOIC (Low Orbit Ion Cannon)</w:t>
            </w:r>
          </w:p>
        </w:tc>
        <w:tc>
          <w:tcPr>
            <w:tcW w:type="dxa" w:w="2400"/>
            <w:tcMar>
              <w:top w:type="dxa" w:w="50"/>
              <w:left w:type="dxa" w:w="90"/>
              <w:bottom w:type="dxa" w:w="50"/>
              <w:right w:type="dxa" w:w="90"/>
            </w:tcMar>
          </w:tcPr>
          <w:p>
            <w:pPr>
              <w:spacing w:after="20"/>
            </w:pPr>
            <w:r>
              <w:rPr>
                <w:color w:val="1F2933"/>
                <w:sz w:val="20"/>
                <w:szCs w:val="20"/>
              </w:rPr>
              <w:t xml:space="preserve">Simple open-source stress/flood tool; infamously used by hacktivist groups.</w:t>
            </w:r>
          </w:p>
        </w:tc>
        <w:tc>
          <w:tcPr>
            <w:tcW w:type="dxa" w:w="2560"/>
            <w:tcMar>
              <w:top w:type="dxa" w:w="50"/>
              <w:left w:type="dxa" w:w="90"/>
              <w:bottom w:type="dxa" w:w="50"/>
              <w:right w:type="dxa" w:w="90"/>
            </w:tcMar>
          </w:tcPr>
          <w:p>
            <w:pPr>
              <w:spacing w:after="20"/>
            </w:pPr>
            <w:r>
              <w:rPr>
                <w:color w:val="1F2933"/>
                <w:sz w:val="20"/>
                <w:szCs w:val="20"/>
              </w:rPr>
              <w:t xml:space="preserve">TCP, UDP and HTTP floods from a single host (or many volunteers in a 'HiveMind' mode). High volume, no source spoofing.</w:t>
            </w:r>
          </w:p>
        </w:tc>
        <w:tc>
          <w:tcPr>
            <w:tcW w:type="dxa" w:w="2500"/>
            <w:tcMar>
              <w:top w:type="dxa" w:w="50"/>
              <w:left w:type="dxa" w:w="90"/>
              <w:bottom w:type="dxa" w:w="50"/>
              <w:right w:type="dxa" w:w="90"/>
            </w:tcMar>
          </w:tcPr>
          <w:p>
            <w:pPr>
              <w:spacing w:after="20"/>
            </w:pPr>
            <w:r>
              <w:rPr>
                <w:color w:val="1F2933"/>
                <w:sz w:val="20"/>
                <w:szCs w:val="20"/>
              </w:rPr>
              <w:t xml:space="preserve">Easy to detect: huge traffic from a single, non-spoofed source IP. Block/rate-limit the source, use upstream firewall and IDS signatures; ISP filtering.</w:t>
            </w:r>
          </w:p>
        </w:tc>
      </w:tr>
      <w:tr>
        <w:tc>
          <w:tcPr>
            <w:tcW w:type="dxa" w:w="1900"/>
            <w:shd w:fill="EEF2FF" w:color="auto" w:val="clear"/>
            <w:tcMar>
              <w:top w:type="dxa" w:w="50"/>
              <w:left w:type="dxa" w:w="90"/>
              <w:bottom w:type="dxa" w:w="50"/>
              <w:right w:type="dxa" w:w="90"/>
            </w:tcMar>
          </w:tcPr>
          <w:p>
            <w:pPr>
              <w:spacing w:after="20"/>
            </w:pPr>
            <w:r>
              <w:rPr>
                <w:color w:val="1F2933"/>
                <w:sz w:val="20"/>
                <w:szCs w:val="20"/>
              </w:rPr>
              <w:t xml:space="preserve">HOIC (High Orbit Ion Cannon)</w:t>
            </w:r>
          </w:p>
        </w:tc>
        <w:tc>
          <w:tcPr>
            <w:tcW w:type="dxa" w:w="2400"/>
            <w:shd w:fill="EEF2FF" w:color="auto" w:val="clear"/>
            <w:tcMar>
              <w:top w:type="dxa" w:w="50"/>
              <w:left w:type="dxa" w:w="90"/>
              <w:bottom w:type="dxa" w:w="50"/>
              <w:right w:type="dxa" w:w="90"/>
            </w:tcMar>
          </w:tcPr>
          <w:p>
            <w:pPr>
              <w:spacing w:after="20"/>
            </w:pPr>
            <w:r>
              <w:rPr>
                <w:color w:val="1F2933"/>
                <w:sz w:val="20"/>
                <w:szCs w:val="20"/>
              </w:rPr>
              <w:t xml:space="preserve">Successor to LOIC built for coordinated HTTP floods.</w:t>
            </w:r>
          </w:p>
        </w:tc>
        <w:tc>
          <w:tcPr>
            <w:tcW w:type="dxa" w:w="2560"/>
            <w:shd w:fill="EEF2FF" w:color="auto" w:val="clear"/>
            <w:tcMar>
              <w:top w:type="dxa" w:w="50"/>
              <w:left w:type="dxa" w:w="90"/>
              <w:bottom w:type="dxa" w:w="50"/>
              <w:right w:type="dxa" w:w="90"/>
            </w:tcMar>
          </w:tcPr>
          <w:p>
            <w:pPr>
              <w:spacing w:after="20"/>
            </w:pPr>
            <w:r>
              <w:rPr>
                <w:color w:val="1F2933"/>
                <w:sz w:val="20"/>
                <w:szCs w:val="20"/>
              </w:rPr>
              <w:t xml:space="preserve">HTTP GET/POST flood using 'booster' scripts that randomise headers/URLs and hit many targets at once.</w:t>
            </w:r>
          </w:p>
        </w:tc>
        <w:tc>
          <w:tcPr>
            <w:tcW w:type="dxa" w:w="2500"/>
            <w:shd w:fill="EEF2FF" w:color="auto" w:val="clear"/>
            <w:tcMar>
              <w:top w:type="dxa" w:w="50"/>
              <w:left w:type="dxa" w:w="90"/>
              <w:bottom w:type="dxa" w:w="50"/>
              <w:right w:type="dxa" w:w="90"/>
            </w:tcMar>
          </w:tcPr>
          <w:p>
            <w:pPr>
              <w:spacing w:after="20"/>
            </w:pPr>
            <w:r>
              <w:rPr>
                <w:color w:val="1F2933"/>
                <w:sz w:val="20"/>
                <w:szCs w:val="20"/>
              </w:rPr>
              <w:t xml:space="preserve">Watch for abnormal HTTP request rates and randomised user-agents; apply WAF rules, rate limiting, CAPTCHA challenges, and behavioural analytics.</w:t>
            </w:r>
          </w:p>
        </w:tc>
      </w:tr>
      <w:tr>
        <w:tc>
          <w:tcPr>
            <w:tcW w:type="dxa" w:w="1900"/>
            <w:tcMar>
              <w:top w:type="dxa" w:w="50"/>
              <w:left w:type="dxa" w:w="90"/>
              <w:bottom w:type="dxa" w:w="50"/>
              <w:right w:type="dxa" w:w="90"/>
            </w:tcMar>
          </w:tcPr>
          <w:p>
            <w:pPr>
              <w:spacing w:after="20"/>
            </w:pPr>
            <w:r>
              <w:rPr>
                <w:color w:val="1F2933"/>
                <w:sz w:val="20"/>
                <w:szCs w:val="20"/>
              </w:rPr>
              <w:t xml:space="preserve">Hping3</w:t>
            </w:r>
          </w:p>
        </w:tc>
        <w:tc>
          <w:tcPr>
            <w:tcW w:type="dxa" w:w="2400"/>
            <w:tcMar>
              <w:top w:type="dxa" w:w="50"/>
              <w:left w:type="dxa" w:w="90"/>
              <w:bottom w:type="dxa" w:w="50"/>
              <w:right w:type="dxa" w:w="90"/>
            </w:tcMar>
          </w:tcPr>
          <w:p>
            <w:pPr>
              <w:spacing w:after="20"/>
            </w:pPr>
            <w:r>
              <w:rPr>
                <w:color w:val="1F2933"/>
                <w:sz w:val="20"/>
                <w:szCs w:val="20"/>
              </w:rPr>
              <w:t xml:space="preserve">Command-line packet crafting and network testing utility.</w:t>
            </w:r>
          </w:p>
        </w:tc>
        <w:tc>
          <w:tcPr>
            <w:tcW w:type="dxa" w:w="2560"/>
            <w:tcMar>
              <w:top w:type="dxa" w:w="50"/>
              <w:left w:type="dxa" w:w="90"/>
              <w:bottom w:type="dxa" w:w="50"/>
              <w:right w:type="dxa" w:w="90"/>
            </w:tcMar>
          </w:tcPr>
          <w:p>
            <w:pPr>
              <w:spacing w:after="20"/>
            </w:pPr>
            <w:r>
              <w:rPr>
                <w:color w:val="1F2933"/>
                <w:sz w:val="20"/>
                <w:szCs w:val="20"/>
              </w:rPr>
              <w:t xml:space="preserve">Custom TCP/UDP/ICMP packets; commonly used for SYN floods and crafted-packet floods with spoofed source IPs.</w:t>
            </w:r>
          </w:p>
        </w:tc>
        <w:tc>
          <w:tcPr>
            <w:tcW w:type="dxa" w:w="2500"/>
            <w:tcMar>
              <w:top w:type="dxa" w:w="50"/>
              <w:left w:type="dxa" w:w="90"/>
              <w:bottom w:type="dxa" w:w="50"/>
              <w:right w:type="dxa" w:w="90"/>
            </w:tcMar>
          </w:tcPr>
          <w:p>
            <w:pPr>
              <w:spacing w:after="20"/>
            </w:pPr>
            <w:r>
              <w:rPr>
                <w:color w:val="1F2933"/>
                <w:sz w:val="20"/>
                <w:szCs w:val="20"/>
              </w:rPr>
              <w:t xml:space="preserve">Monitor for half-open TCP connections; enable SYN cookies, firewall connection limits, and anti-spoofing (BCP 38 ingress filtering).</w:t>
            </w:r>
          </w:p>
        </w:tc>
      </w:tr>
      <w:tr>
        <w:tc>
          <w:tcPr>
            <w:tcW w:type="dxa" w:w="1900"/>
            <w:shd w:fill="EEF2FF" w:color="auto" w:val="clear"/>
            <w:tcMar>
              <w:top w:type="dxa" w:w="50"/>
              <w:left w:type="dxa" w:w="90"/>
              <w:bottom w:type="dxa" w:w="50"/>
              <w:right w:type="dxa" w:w="90"/>
            </w:tcMar>
          </w:tcPr>
          <w:p>
            <w:pPr>
              <w:spacing w:after="20"/>
            </w:pPr>
            <w:r>
              <w:rPr>
                <w:color w:val="1F2933"/>
                <w:sz w:val="20"/>
                <w:szCs w:val="20"/>
              </w:rPr>
              <w:t xml:space="preserve">Slowloris</w:t>
            </w:r>
          </w:p>
        </w:tc>
        <w:tc>
          <w:tcPr>
            <w:tcW w:type="dxa" w:w="2400"/>
            <w:shd w:fill="EEF2FF" w:color="auto" w:val="clear"/>
            <w:tcMar>
              <w:top w:type="dxa" w:w="50"/>
              <w:left w:type="dxa" w:w="90"/>
              <w:bottom w:type="dxa" w:w="50"/>
              <w:right w:type="dxa" w:w="90"/>
            </w:tcMar>
          </w:tcPr>
          <w:p>
            <w:pPr>
              <w:spacing w:after="20"/>
            </w:pPr>
            <w:r>
              <w:rPr>
                <w:color w:val="1F2933"/>
                <w:sz w:val="20"/>
                <w:szCs w:val="20"/>
              </w:rPr>
              <w:t xml:space="preserve">Low-bandwidth tool that exhausts a web server's connection pool.</w:t>
            </w:r>
          </w:p>
        </w:tc>
        <w:tc>
          <w:tcPr>
            <w:tcW w:type="dxa" w:w="2560"/>
            <w:shd w:fill="EEF2FF" w:color="auto" w:val="clear"/>
            <w:tcMar>
              <w:top w:type="dxa" w:w="50"/>
              <w:left w:type="dxa" w:w="90"/>
              <w:bottom w:type="dxa" w:w="50"/>
              <w:right w:type="dxa" w:w="90"/>
            </w:tcMar>
          </w:tcPr>
          <w:p>
            <w:pPr>
              <w:spacing w:after="20"/>
            </w:pPr>
            <w:r>
              <w:rPr>
                <w:color w:val="1F2933"/>
                <w:sz w:val="20"/>
                <w:szCs w:val="20"/>
              </w:rPr>
              <w:t xml:space="preserve">Opens many HTTP connections and keeps them alive by sending partial headers very slowly ('slow' / low-and-slow Layer-7 attack).</w:t>
            </w:r>
          </w:p>
        </w:tc>
        <w:tc>
          <w:tcPr>
            <w:tcW w:type="dxa" w:w="2500"/>
            <w:shd w:fill="EEF2FF" w:color="auto" w:val="clear"/>
            <w:tcMar>
              <w:top w:type="dxa" w:w="50"/>
              <w:left w:type="dxa" w:w="90"/>
              <w:bottom w:type="dxa" w:w="50"/>
              <w:right w:type="dxa" w:w="90"/>
            </w:tcMar>
          </w:tcPr>
          <w:p>
            <w:pPr>
              <w:spacing w:after="20"/>
            </w:pPr>
            <w:r>
              <w:rPr>
                <w:color w:val="1F2933"/>
                <w:sz w:val="20"/>
                <w:szCs w:val="20"/>
              </w:rPr>
              <w:t xml:space="preserve">Set connection and request timeouts; cap concurrent connections per IP; use reverse proxy / load balancer (e.g. nginx) and modules such as mod_reqtimeout.</w:t>
            </w:r>
          </w:p>
        </w:tc>
      </w:tr>
    </w:tbl>
    <w:p>
      <w:pPr>
        <w:spacing w:after="60" w:line="276"/>
        <w:jc w:val="left"/>
      </w:pPr>
      <w:r>
        <w:rPr>
          <w:b/>
          <w:bCs/>
          <w:i w:val="false"/>
          <w:iCs w:val="false"/>
          <w:color w:val="1F2933"/>
          <w:sz w:val="22"/>
          <w:szCs w:val="22"/>
          <w:rFonts w:ascii="Calibri" w:cs="Calibri" w:eastAsia="Calibri" w:hAnsi="Calibri"/>
        </w:rPr>
        <w:t xml:space="preserve">Key distinction. </w:t>
      </w:r>
      <w:r>
        <w:rPr>
          <w:b w:val="false"/>
          <w:bCs w:val="false"/>
          <w:i w:val="false"/>
          <w:iCs w:val="false"/>
          <w:color w:val="1F2933"/>
          <w:sz w:val="22"/>
          <w:szCs w:val="22"/>
          <w:rFonts w:ascii="Calibri" w:cs="Calibri" w:eastAsia="Calibri" w:hAnsi="Calibri"/>
        </w:rPr>
        <w:t xml:space="preserve">LOIC, HOIC and Hping3 are mainly high-volume (volumetric) tools, while Slowloris is a low-and-slow application-layer tool that needs almost no bandwidth. Defences therefore differ: volume attacks need upstream scrubbing and rate limiting, whereas Slowloris is beaten by tightening server timeouts and connection limits.</w:t>
      </w:r>
    </w:p>
    <w:p>
      <w:pPr>
        <w:pStyle w:val="Heading1"/>
        <w:spacing w:before="240" w:after="120"/>
      </w:pPr>
      <w:r>
        <w:rPr>
          <w:b/>
          <w:bCs/>
          <w:color w:val="1D4ED8"/>
          <w:sz w:val="30"/>
          <w:szCs w:val="30"/>
          <w:rFonts w:ascii="Calibri" w:cs="Calibri" w:eastAsia="Calibri" w:hAnsi="Calibri"/>
        </w:rPr>
        <w:t xml:space="preserve">Task 3 — Mitigation Strategies</w:t>
      </w:r>
    </w:p>
    <w:p>
      <w:pPr>
        <w:pStyle w:val="ListParagraph"/>
        <w:numPr>
          <w:ilvl w:val="0"/>
          <w:numId w:val="2"/>
        </w:numPr>
        <w:spacing w:after="60" w:line="268"/>
      </w:pPr>
      <w:r>
        <w:rPr>
          <w:b/>
          <w:bCs/>
          <w:i w:val="false"/>
          <w:iCs w:val="false"/>
          <w:color w:val="1F2933"/>
          <w:sz w:val="22"/>
          <w:szCs w:val="22"/>
          <w:rFonts w:ascii="Calibri" w:cs="Calibri" w:eastAsia="Calibri" w:hAnsi="Calibri"/>
        </w:rPr>
        <w:t xml:space="preserve">Cloud-based DDoS protection and traffic scrubbing. </w:t>
      </w:r>
      <w:r>
        <w:rPr>
          <w:b w:val="false"/>
          <w:bCs w:val="false"/>
          <w:i w:val="false"/>
          <w:iCs w:val="false"/>
          <w:color w:val="1F2933"/>
          <w:sz w:val="22"/>
          <w:szCs w:val="22"/>
          <w:rFonts w:ascii="Calibri" w:cs="Calibri" w:eastAsia="Calibri" w:hAnsi="Calibri"/>
        </w:rPr>
        <w:t xml:space="preserve">Services such as Cloudflare, Akamai Prolexic, or AWS Shield absorb and filter attack traffic in large distributed networks before it reaches the origin. This works because their global capacity far exceeds what any single attacker can generate, and malicious packets are 'scrubbed' at the edge — exactly how GitHub recovered in 2018.</w:t>
      </w:r>
    </w:p>
    <w:p>
      <w:pPr>
        <w:pStyle w:val="ListParagraph"/>
        <w:numPr>
          <w:ilvl w:val="0"/>
          <w:numId w:val="2"/>
        </w:numPr>
        <w:spacing w:after="60" w:line="268"/>
      </w:pPr>
      <w:r>
        <w:rPr>
          <w:b/>
          <w:bCs/>
          <w:i w:val="false"/>
          <w:iCs w:val="false"/>
          <w:color w:val="1F2933"/>
          <w:sz w:val="22"/>
          <w:szCs w:val="22"/>
          <w:rFonts w:ascii="Calibri" w:cs="Calibri" w:eastAsia="Calibri" w:hAnsi="Calibri"/>
        </w:rPr>
        <w:t xml:space="preserve">Rate limiting and traffic filtering. </w:t>
      </w:r>
      <w:r>
        <w:rPr>
          <w:b w:val="false"/>
          <w:bCs w:val="false"/>
          <w:i w:val="false"/>
          <w:iCs w:val="false"/>
          <w:color w:val="1F2933"/>
          <w:sz w:val="22"/>
          <w:szCs w:val="22"/>
          <w:rFonts w:ascii="Calibri" w:cs="Calibri" w:eastAsia="Calibri" w:hAnsi="Calibri"/>
        </w:rPr>
        <w:t xml:space="preserve">Limiting the number of requests or connections allowed per source IP within a time window, and dropping malformed or spoofed packets, blunts both volumetric and application-layer floods. It is effective because it caps the damage any single source can do and starves low-and-slow tools like Slowloris of the open connections they rely on.</w:t>
      </w:r>
    </w:p>
    <w:p>
      <w:pPr>
        <w:pStyle w:val="ListParagraph"/>
        <w:numPr>
          <w:ilvl w:val="0"/>
          <w:numId w:val="2"/>
        </w:numPr>
        <w:spacing w:after="60" w:line="268"/>
      </w:pPr>
      <w:r>
        <w:rPr>
          <w:b/>
          <w:bCs/>
          <w:i w:val="false"/>
          <w:iCs w:val="false"/>
          <w:color w:val="1F2933"/>
          <w:sz w:val="22"/>
          <w:szCs w:val="22"/>
          <w:rFonts w:ascii="Calibri" w:cs="Calibri" w:eastAsia="Calibri" w:hAnsi="Calibri"/>
        </w:rPr>
        <w:t xml:space="preserve">Firewalls and Intrusion Detection/Prevention Systems (IDS/IPS). </w:t>
      </w:r>
      <w:r>
        <w:rPr>
          <w:b w:val="false"/>
          <w:bCs w:val="false"/>
          <w:i w:val="false"/>
          <w:iCs w:val="false"/>
          <w:color w:val="1F2933"/>
          <w:sz w:val="22"/>
          <w:szCs w:val="22"/>
          <w:rFonts w:ascii="Calibri" w:cs="Calibri" w:eastAsia="Calibri" w:hAnsi="Calibri"/>
        </w:rPr>
        <w:t xml:space="preserve">Stateful firewalls with SYN-cookie protection and IDS/IPS signatures detect flood patterns (SYN floods, abnormal request rates, known tool fingerprints) and block them automatically. This is effective as a first line of defence and provides the alerting a SOC needs to respond quickly.</w:t>
      </w:r>
    </w:p>
    <w:p>
      <w:pPr>
        <w:spacing w:after="120" w:line="276"/>
        <w:jc w:val="left"/>
      </w:pPr>
      <w:r>
        <w:rPr>
          <w:b/>
          <w:bCs/>
          <w:i w:val="false"/>
          <w:iCs w:val="false"/>
          <w:color w:val="1F2933"/>
          <w:sz w:val="22"/>
          <w:szCs w:val="22"/>
          <w:rFonts w:ascii="Calibri" w:cs="Calibri" w:eastAsia="Calibri" w:hAnsi="Calibri"/>
        </w:rPr>
        <w:t xml:space="preserve">Supporting measures. </w:t>
      </w:r>
      <w:r>
        <w:rPr>
          <w:b w:val="false"/>
          <w:bCs w:val="false"/>
          <w:i w:val="false"/>
          <w:iCs w:val="false"/>
          <w:color w:val="1F2933"/>
          <w:sz w:val="22"/>
          <w:szCs w:val="22"/>
          <w:rFonts w:ascii="Calibri" w:cs="Calibri" w:eastAsia="Calibri" w:hAnsi="Calibri"/>
        </w:rPr>
        <w:t xml:space="preserve">Content Delivery Networks (CDNs) cache and distribute content so load is spread across many edge nodes; anti-spoofing ingress filtering (BCP 38) at the ISP level prevents forged source addresses; and an incident-response runbook ensures the team reacts within minutes rather than hours.</w:t>
      </w:r>
    </w:p>
    <w:p>
      <w:pPr>
        <w:pStyle w:val="Heading1"/>
        <w:spacing w:before="240" w:after="120"/>
      </w:pPr>
      <w:r>
        <w:rPr>
          <w:b/>
          <w:bCs/>
          <w:color w:val="1D4ED8"/>
          <w:sz w:val="30"/>
          <w:szCs w:val="30"/>
          <w:rFonts w:ascii="Calibri" w:cs="Calibri" w:eastAsia="Calibri" w:hAnsi="Calibri"/>
        </w:rPr>
        <w:t xml:space="preserve">Conclusion</w:t>
      </w:r>
    </w:p>
    <w:p>
      <w:pPr>
        <w:spacing w:after="120" w:line="276"/>
        <w:jc w:val="left"/>
      </w:pPr>
      <w:r>
        <w:rPr>
          <w:b w:val="false"/>
          <w:bCs w:val="false"/>
          <w:i w:val="false"/>
          <w:iCs w:val="false"/>
          <w:color w:val="1F2933"/>
          <w:sz w:val="22"/>
          <w:szCs w:val="22"/>
          <w:rFonts w:ascii="Calibri" w:cs="Calibri" w:eastAsia="Calibri" w:hAnsi="Calibri"/>
        </w:rPr>
        <w:t xml:space="preserve">DoS and DDoS attacks threaten availability rather than confidentiality, and the strongest defence is layered: absorb volume in the cloud, filter and rate-limit at the edge, harden servers against low-and-slow techniques, and monitor continuously so attacks are detected and mitigated within minutes. The GitHub and Dyn incidents show that even well-resourced organisations are targets, and that preparation — not reaction — is what keeps services online.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jc w:val="center"/>
    </w:pPr>
    <w:r>
      <w:rPr>
        <w:color w:val="7B8794"/>
        <w:sz w:val="16"/>
        <w:szCs w:val="16"/>
      </w:rPr>
      <w:t xml:space="preserve">MD Ala Uddin  •  </w:t>
    </w:r>
    <w:r>
      <w:rPr>
        <w:color w:val="7B879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4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Deliverable</dc:title>
  <dc:creator>MD Ala Uddin</dc:creator>
  <cp:lastModifiedBy>Un-named</cp:lastModifiedBy>
  <cp:revision>1</cp:revision>
  <dcterms:created xsi:type="dcterms:W3CDTF">2026-10-16T10:08:07.706Z</dcterms:created>
  <dcterms:modified xsi:type="dcterms:W3CDTF">2026-10-16T10:08:07.707Z</dcterms:modified>
</cp:coreProperties>
</file>

<file path=docProps/custom.xml><?xml version="1.0" encoding="utf-8"?>
<Properties xmlns="http://schemas.openxmlformats.org/officeDocument/2006/custom-properties" xmlns:vt="http://schemas.openxmlformats.org/officeDocument/2006/docPropsVTypes"/>
</file>