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0" w:line="264" w:lineRule="auto"/>
        <w:jc w:val="center"/>
      </w:pPr>
      <w:r>
        <w:t xml:space="preserve">Team Inferno: Corporate &amp; Management Report</w:t>
      </w:r>
    </w:p>
    <w:p>
      <w:pPr>
        <w:pStyle w:val="Heading1"/>
        <w:keepNext/>
        <w:spacing w:after="200" w:before="0" w:line="264" w:lineRule="auto"/>
      </w:pPr>
      <w:r>
        <w:t xml:space="preserve">1. Executive Overview: Corporate Development Journey</w:t>
      </w:r>
    </w:p>
    <w:p>
      <w:pPr>
        <w:spacing w:after="200" w:before="0" w:line="264" w:lineRule="auto"/>
      </w:pPr>
      <w:r>
        <w:t xml:space="preserve">The corporate and branding strategy for Team Inferno has undergone a significant evolution over the past cycles. We transitioned from a casual aesthetic to a formal, minimalistic brand identity to better position ourselves with sponsors and judges. While we successfully conceptualized innovative business strategies like the "Inferno Exchange," operational bottlenecks and delayed timelines led to a critical setback last year where we missed our PIMA slot. Moving forward, our strategy is strictly focused on early preparation, domain-based task distribution, and streamlined, well-documented procurement of our marketing and branding assets.</w:t>
      </w:r>
    </w:p>
    <w:p>
      <w:pPr>
        <w:pStyle w:val="Heading1"/>
        <w:keepNext/>
        <w:spacing w:after="200" w:before="0" w:line="264" w:lineRule="auto"/>
      </w:pPr>
      <w:r>
        <w:t xml:space="preserve">2. Strategic Objectives &amp; Operational Constraints</w:t>
      </w:r>
    </w:p>
    <w:p>
      <w:pPr>
        <w:pStyle w:val="Heading2"/>
        <w:keepNext/>
        <w:spacing w:after="120" w:before="0" w:line="264" w:lineRule="auto"/>
      </w:pPr>
      <w:r>
        <w:t xml:space="preserve">2.1 Primary Objectives</w:t>
      </w:r>
    </w:p>
    <w:p>
      <w:pPr>
        <w:pStyle w:val="ListParagraph"/>
        <w:numPr>
          <w:ilvl w:val="0"/>
          <w:numId w:val="2"/>
        </w:numPr>
        <w:spacing w:after="0" w:before="0" w:line="264" w:lineRule="auto"/>
      </w:pPr>
      <w:r>
        <w:t xml:space="preserve">Develop a highly professional and minimalistic brand identity across all visual assets and team apparel.</w:t>
      </w:r>
    </w:p>
    <w:p>
      <w:pPr>
        <w:pStyle w:val="ListParagraph"/>
        <w:numPr>
          <w:ilvl w:val="0"/>
          <w:numId w:val="2"/>
        </w:numPr>
        <w:spacing w:after="0" w:before="0" w:line="264" w:lineRule="auto"/>
      </w:pPr>
      <w:r>
        <w:t xml:space="preserve">Prepare comprehensive, engaging PIMA (Project Implementation and Management Assessment) and BPP (Business and Partnership Plan) strategies.</w:t>
      </w:r>
    </w:p>
    <w:p>
      <w:pPr>
        <w:pStyle w:val="ListParagraph"/>
        <w:numPr>
          <w:ilvl w:val="0"/>
          <w:numId w:val="2"/>
        </w:numPr>
        <w:spacing w:after="0" w:before="0" w:line="264" w:lineRule="auto"/>
      </w:pPr>
      <w:r>
        <w:t xml:space="preserve">Conceptualize a BPP that actively integrates team branding with tangible sponsor engagement.</w:t>
      </w:r>
    </w:p>
    <w:p>
      <w:pPr>
        <w:pStyle w:val="ListParagraph"/>
        <w:numPr>
          <w:ilvl w:val="0"/>
          <w:numId w:val="2"/>
        </w:numPr>
        <w:spacing w:after="120" w:before="0" w:line="264" w:lineRule="auto"/>
      </w:pPr>
      <w:r>
        <w:t xml:space="preserve">Produce high-quality physical marketing collateral (standees, visiting cards, brochures, stickers).</w:t>
      </w:r>
    </w:p>
    <w:p>
      <w:pPr>
        <w:pStyle w:val="Heading2"/>
        <w:keepNext/>
        <w:spacing w:after="120" w:before="0" w:line="264" w:lineRule="auto"/>
      </w:pPr>
      <w:r>
        <w:t xml:space="preserve">2.2 Operational Constraints</w:t>
      </w:r>
    </w:p>
    <w:p>
      <w:pPr>
        <w:pStyle w:val="ListParagraph"/>
        <w:numPr>
          <w:ilvl w:val="0"/>
          <w:numId w:val="2"/>
        </w:numPr>
        <w:spacing w:after="0" w:before="0" w:line="264" w:lineRule="auto"/>
      </w:pPr>
      <w:r>
        <w:t xml:space="preserve">Limited manpower within the corporate team, making standard workload distribution challenging.</w:t>
      </w:r>
    </w:p>
    <w:p>
      <w:pPr>
        <w:pStyle w:val="ListParagraph"/>
        <w:numPr>
          <w:ilvl w:val="0"/>
          <w:numId w:val="2"/>
        </w:numPr>
        <w:spacing w:after="120" w:before="0" w:line="264" w:lineRule="auto"/>
      </w:pPr>
      <w:r>
        <w:t xml:space="preserve">Strict, inflexible deadlines for external presentation submissions.</w:t>
      </w:r>
    </w:p>
    <w:p>
      <w:pPr>
        <w:pStyle w:val="Heading1"/>
        <w:keepNext/>
        <w:spacing w:after="200" w:before="0" w:line="264" w:lineRule="auto"/>
      </w:pPr>
      <w:r>
        <w:t xml:space="preserve">3. Iterative Evolution of Brand &amp; Procurement</w:t>
      </w:r>
    </w:p>
    <w:p>
      <w:pPr>
        <w:pStyle w:val="Heading2"/>
        <w:keepNext/>
        <w:spacing w:after="120" w:before="0" w:line="264" w:lineRule="auto"/>
      </w:pPr>
      <w:r>
        <w:t xml:space="preserve">3.1 Iteration 1</w:t>
      </w:r>
    </w:p>
    <w:p>
      <w:pPr>
        <w:keepNext/>
        <w:spacing w:after="120" w:before="0" w:line="264" w:lineRule="auto"/>
      </w:pPr>
      <w:r>
        <w:rPr>
          <w:b/>
          <w:bCs/>
        </w:rPr>
        <w:t xml:space="preserve"> Legacy Strategy &amp; Foundational Concepts (2025)</w:t>
      </w:r>
    </w:p>
    <w:p>
      <w:pPr>
        <w:pStyle w:val="ListParagraph"/>
        <w:numPr>
          <w:ilvl w:val="0"/>
          <w:numId w:val="2"/>
        </w:numPr>
        <w:spacing w:after="0" w:before="0" w:line="264" w:lineRule="auto"/>
      </w:pPr>
      <w:r>
        <w:rPr>
          <w:b/>
          <w:bCs/>
        </w:rPr>
        <w:t xml:space="preserve">3.1.1 Development Focus: </w:t>
      </w:r>
      <w:r>
        <w:t xml:space="preserve">A relatively casual design approach to our branding and the initial introduction of the "Inferno Coin" for the BPP.</w:t>
      </w:r>
    </w:p>
    <w:p>
      <w:pPr>
        <w:pStyle w:val="ListParagraph"/>
        <w:numPr>
          <w:ilvl w:val="0"/>
          <w:numId w:val="2"/>
        </w:numPr>
        <w:spacing w:after="0" w:before="0" w:line="264" w:lineRule="auto"/>
      </w:pPr>
      <w:r>
        <w:rPr>
          <w:b/>
          <w:bCs/>
        </w:rPr>
        <w:t xml:space="preserve">3.1.2 Logic &amp; Conceptualization: </w:t>
      </w:r>
      <w:r>
        <w:t xml:space="preserve">Basic structural modeling of the Inferno Coin as a standalone digital asset.</w:t>
      </w:r>
    </w:p>
    <w:p>
      <w:pPr>
        <w:pStyle w:val="ListParagraph"/>
        <w:numPr>
          <w:ilvl w:val="0"/>
          <w:numId w:val="2"/>
        </w:numPr>
        <w:spacing w:after="0" w:before="0" w:line="264" w:lineRule="auto"/>
      </w:pPr>
      <w:r>
        <w:rPr>
          <w:b/>
          <w:bCs/>
        </w:rPr>
        <w:t xml:space="preserve">3.1.3 Manufacturing &amp; Procurement: </w:t>
      </w:r>
      <w:r>
        <w:t xml:space="preserve">Production of standard team apparel and basic presentation materials.</w:t>
      </w:r>
    </w:p>
    <w:p>
      <w:pPr>
        <w:pStyle w:val="ListParagraph"/>
        <w:numPr>
          <w:ilvl w:val="0"/>
          <w:numId w:val="2"/>
        </w:numPr>
        <w:spacing w:after="0" w:before="0" w:line="264" w:lineRule="auto"/>
      </w:pPr>
      <w:r>
        <w:rPr>
          <w:b/>
          <w:bCs/>
        </w:rPr>
        <w:t xml:space="preserve">3.1.4 Performance &amp; Testing Issues: </w:t>
      </w:r>
      <w:r>
        <w:t xml:space="preserve">The visual aesthetic was too casual for corporate pitches, and the Inferno Coin lacked a fully integrated, real-world application to incentivize sponsors.</w:t>
      </w:r>
    </w:p>
    <w:p>
      <w:pPr>
        <w:pStyle w:val="ListParagraph"/>
        <w:numPr>
          <w:ilvl w:val="0"/>
          <w:numId w:val="2"/>
        </w:numPr>
        <w:spacing w:after="120" w:before="0" w:line="264" w:lineRule="auto"/>
      </w:pPr>
      <w:r>
        <w:rPr>
          <w:b/>
          <w:bCs/>
        </w:rPr>
        <w:t xml:space="preserve">3.1.5 Lessons Learned: </w:t>
      </w:r>
      <w:r>
        <w:t xml:space="preserve">A stronger, more formal visual identity was required, alongside a practical economic ecosystem to make the Inferno Coin relevant to corporate partners.</w:t>
      </w:r>
    </w:p>
    <w:p>
      <w:pPr>
        <w:pStyle w:val="Heading2"/>
        <w:keepNext/>
        <w:spacing w:after="120" w:before="0" w:line="264" w:lineRule="auto"/>
      </w:pPr>
      <w:r>
        <w:t xml:space="preserve">3.2 Iteration 2</w:t>
      </w:r>
    </w:p>
    <w:p>
      <w:pPr>
        <w:keepNext/>
        <w:spacing w:after="120" w:before="0" w:line="264" w:lineRule="auto"/>
      </w:pPr>
      <w:r>
        <w:rPr>
          <w:b/>
          <w:bCs/>
        </w:rPr>
        <w:t xml:space="preserve"> Professionalization &amp; System Integration (2026)</w:t>
      </w:r>
    </w:p>
    <w:p>
      <w:pPr>
        <w:pStyle w:val="ListParagraph"/>
        <w:numPr>
          <w:ilvl w:val="0"/>
          <w:numId w:val="2"/>
        </w:numPr>
        <w:spacing w:after="0" w:before="0" w:line="264" w:lineRule="auto"/>
      </w:pPr>
      <w:r>
        <w:rPr>
          <w:b/>
          <w:bCs/>
        </w:rPr>
        <w:t xml:space="preserve">3.2.1 Development Focus: </w:t>
      </w:r>
      <w:r>
        <w:t xml:space="preserve">A complete brand overhaul featuring a formal, minimalistic logo and a shift to a professional, jersey-style team uniform.</w:t>
      </w:r>
    </w:p>
    <w:p>
      <w:pPr>
        <w:pStyle w:val="ListParagraph"/>
        <w:numPr>
          <w:ilvl w:val="0"/>
          <w:numId w:val="2"/>
        </w:numPr>
        <w:spacing w:after="0" w:before="0" w:line="264" w:lineRule="auto"/>
      </w:pPr>
      <w:r>
        <w:rPr>
          <w:b/>
          <w:bCs/>
        </w:rPr>
        <w:t xml:space="preserve">3.2.2 Logic &amp; Conceptualization: </w:t>
      </w:r>
      <w:r>
        <w:t xml:space="preserve">The successful integration of the "Inferno Coin" into the newly developed "Inferno Exchange" a functional currency ecosystem utilized by companies and sponsors to exchange services and funds with the team.</w:t>
      </w:r>
    </w:p>
    <w:p>
      <w:pPr>
        <w:pStyle w:val="ListParagraph"/>
        <w:numPr>
          <w:ilvl w:val="0"/>
          <w:numId w:val="2"/>
        </w:numPr>
        <w:spacing w:after="0" w:before="0" w:line="264" w:lineRule="auto"/>
      </w:pPr>
      <w:r>
        <w:rPr>
          <w:b/>
          <w:bCs/>
        </w:rPr>
        <w:t xml:space="preserve">3.2.3 Manufacturing &amp; Procurement: </w:t>
      </w:r>
      <w:r>
        <w:t xml:space="preserve">Designed and printed 2 standees and 1 brochure. However, team and sponsor stickers were disorganized and ordered at the last minute.</w:t>
      </w:r>
    </w:p>
    <w:p>
      <w:pPr>
        <w:pStyle w:val="ListParagraph"/>
        <w:numPr>
          <w:ilvl w:val="0"/>
          <w:numId w:val="2"/>
        </w:numPr>
        <w:spacing w:after="0" w:before="0" w:line="264" w:lineRule="auto"/>
      </w:pPr>
      <w:r>
        <w:rPr>
          <w:b/>
          <w:bCs/>
        </w:rPr>
        <w:t xml:space="preserve">3.2.4 Performance &amp; Testing Issues: </w:t>
      </w:r>
      <w:r>
        <w:t xml:space="preserve">Delayed planning severely impacted our external deliverables, resulting in disorganized physical assets and missed presentation deadlines.</w:t>
      </w:r>
    </w:p>
    <w:p>
      <w:pPr>
        <w:pStyle w:val="ListParagraph"/>
        <w:numPr>
          <w:ilvl w:val="0"/>
          <w:numId w:val="2"/>
        </w:numPr>
        <w:spacing w:after="120" w:before="0" w:line="264" w:lineRule="auto"/>
      </w:pPr>
      <w:r>
        <w:rPr>
          <w:b/>
          <w:bCs/>
        </w:rPr>
        <w:t xml:space="preserve">3.2.5 Lessons Learned: </w:t>
      </w:r>
      <w:r>
        <w:t xml:space="preserve">Procurement of physical marketing materials must be documented and organized well in advance. Timeline management is critical to competition success.</w:t>
      </w:r>
    </w:p>
    <w:p>
      <w:pPr>
        <w:pStyle w:val="Heading1"/>
        <w:keepNext/>
        <w:spacing w:after="200" w:before="0" w:line="264" w:lineRule="auto"/>
      </w:pPr>
      <w:r>
        <w:t xml:space="preserve">4. Strategic Execution Analysis: PIMA &amp; BPP</w:t>
      </w:r>
    </w:p>
    <w:p>
      <w:pPr>
        <w:pStyle w:val="Heading2"/>
        <w:keepNext/>
        <w:spacing w:after="120" w:before="0" w:line="264" w:lineRule="auto"/>
      </w:pPr>
      <w:r>
        <w:t xml:space="preserve">4.1 Operational Constraints</w:t>
      </w:r>
    </w:p>
    <w:p>
      <w:pPr>
        <w:pStyle w:val="ListParagraph"/>
        <w:numPr>
          <w:ilvl w:val="0"/>
          <w:numId w:val="2"/>
        </w:numPr>
        <w:spacing w:after="0" w:before="0" w:line="264" w:lineRule="auto"/>
      </w:pPr>
      <w:r>
        <w:rPr>
          <w:b/>
          <w:bCs/>
        </w:rPr>
        <w:t xml:space="preserve">4.1.1 Manpower Shortage: </w:t>
      </w:r>
      <w:r>
        <w:t xml:space="preserve">We operated with a very limited number of members in the corporate team, making standard task distribution highly challenging.</w:t>
      </w:r>
    </w:p>
    <w:p>
      <w:pPr>
        <w:pStyle w:val="ListParagraph"/>
        <w:numPr>
          <w:ilvl w:val="0"/>
          <w:numId w:val="2"/>
        </w:numPr>
        <w:spacing w:after="120" w:before="0" w:line="264" w:lineRule="auto"/>
      </w:pPr>
      <w:r>
        <w:rPr>
          <w:b/>
          <w:bCs/>
        </w:rPr>
        <w:t xml:space="preserve">4.1.2 Strict Submission Rules: </w:t>
      </w:r>
      <w:r>
        <w:t xml:space="preserve">The competition introduced a new, inflexible rule requiring the submission of the presentation via a form strictly before the event deadline.</w:t>
      </w:r>
    </w:p>
    <w:p>
      <w:pPr>
        <w:pStyle w:val="Heading2"/>
        <w:keepNext/>
        <w:spacing w:after="200" w:before="0" w:line="264" w:lineRule="auto"/>
      </w:pPr>
      <w:r>
        <w:t xml:space="preserve">4.2 Business and Partnership Plan Evolution &amp; Overcoming Constraints</w:t>
      </w:r>
    </w:p>
    <w:p>
      <w:pPr>
        <w:spacing w:after="200" w:before="0" w:line="264" w:lineRule="auto"/>
      </w:pPr>
      <w:r>
        <w:t xml:space="preserve">To create a compelling BPP, we had to evolve our initial concepts into actionable business models. We overcame the limitations of the standalone "Inferno Coin" by developing the "Inferno Exchange." By integrating the coin into this exchange, we turned a conceptual idea into a functional currency ecosystem that companies and sponsors could actively use to exchange real services and funds with the team.</w:t>
      </w:r>
    </w:p>
    <w:p>
      <w:pPr>
        <w:pStyle w:val="Heading2"/>
        <w:keepNext/>
        <w:spacing w:after="120" w:before="0" w:line="264" w:lineRule="auto"/>
      </w:pPr>
      <w:r>
        <w:t xml:space="preserve">4.3 Critical Execution Failures</w:t>
      </w:r>
    </w:p>
    <w:p>
      <w:pPr>
        <w:pStyle w:val="ListParagraph"/>
        <w:numPr>
          <w:ilvl w:val="0"/>
          <w:numId w:val="2"/>
        </w:numPr>
        <w:spacing w:after="0" w:before="0" w:line="264" w:lineRule="auto"/>
      </w:pPr>
      <w:r>
        <w:rPr>
          <w:b/>
          <w:bCs/>
        </w:rPr>
        <w:t xml:space="preserve">4.3.1 Delayed Initiation: </w:t>
      </w:r>
      <w:r>
        <w:t xml:space="preserve">Planning for PIMA and BPP did not commence until mid-November. Given the constraint of our small team size, this late start created an unmanageable workflow bottleneck.</w:t>
      </w:r>
    </w:p>
    <w:p>
      <w:pPr>
        <w:pStyle w:val="ListParagraph"/>
        <w:numPr>
          <w:ilvl w:val="0"/>
          <w:numId w:val="2"/>
        </w:numPr>
        <w:spacing w:after="0" w:before="0" w:line="264" w:lineRule="auto"/>
      </w:pPr>
      <w:r>
        <w:rPr>
          <w:b/>
          <w:bCs/>
        </w:rPr>
        <w:t xml:space="preserve">4.3.2 Missed Deadlines: </w:t>
      </w:r>
      <w:r>
        <w:t xml:space="preserve">Because of the delayed preparation, our presentation was not ready in time to meet the newly implemented prior submission form rules.</w:t>
      </w:r>
    </w:p>
    <w:p>
      <w:pPr>
        <w:pStyle w:val="ListParagraph"/>
        <w:numPr>
          <w:ilvl w:val="0"/>
          <w:numId w:val="2"/>
        </w:numPr>
        <w:spacing w:after="120" w:before="0" w:line="264" w:lineRule="auto"/>
      </w:pPr>
      <w:r>
        <w:rPr>
          <w:b/>
          <w:bCs/>
        </w:rPr>
        <w:t xml:space="preserve">4.3.3 The Consequence: </w:t>
      </w:r>
      <w:r>
        <w:t xml:space="preserve">As a direct result of missing the PPT submission deadline, Team Inferno completely lost its opportunity to present the PIMA.</w:t>
      </w:r>
    </w:p>
    <w:p>
      <w:pPr>
        <w:pStyle w:val="Heading2"/>
        <w:keepNext/>
        <w:spacing w:after="120" w:before="0" w:line="264" w:lineRule="auto"/>
      </w:pPr>
      <w:r>
        <w:t xml:space="preserve">4.4 Corrective Action Plan for the Upcoming Cycle</w:t>
      </w:r>
    </w:p>
    <w:p>
      <w:pPr>
        <w:pStyle w:val="ListParagraph"/>
        <w:numPr>
          <w:ilvl w:val="0"/>
          <w:numId w:val="2"/>
        </w:numPr>
        <w:spacing w:after="0" w:before="0" w:line="264" w:lineRule="auto"/>
      </w:pPr>
      <w:r>
        <w:rPr>
          <w:b/>
          <w:bCs/>
        </w:rPr>
        <w:t xml:space="preserve">4.4.1 Early Preparation &amp; Buffer Times: </w:t>
      </w:r>
      <w:r>
        <w:t xml:space="preserve">PIMA and BPP planning will begin significantly earlier than mid-November, ensuring PPTs are finalized well ahead of any submission portals opening.</w:t>
      </w:r>
    </w:p>
    <w:p>
      <w:pPr>
        <w:pStyle w:val="ListParagraph"/>
        <w:numPr>
          <w:ilvl w:val="0"/>
          <w:numId w:val="2"/>
        </w:numPr>
        <w:spacing w:after="0" w:before="0" w:line="264" w:lineRule="auto"/>
      </w:pPr>
      <w:r>
        <w:rPr>
          <w:b/>
          <w:bCs/>
        </w:rPr>
        <w:t xml:space="preserve">4.4.2 Strategic Adaptability: </w:t>
      </w:r>
      <w:r>
        <w:t xml:space="preserve">With 2 PIMAs scheduled for this year, our immediate focus is establishing a strong foundational framework now, remaining on standby to quickly adapt once the official problem statements are released.</w:t>
      </w:r>
    </w:p>
    <w:p>
      <w:pPr>
        <w:pStyle w:val="ListParagraph"/>
        <w:numPr>
          <w:ilvl w:val="0"/>
          <w:numId w:val="2"/>
        </w:numPr>
        <w:spacing w:after="120" w:before="0" w:line="264" w:lineRule="auto"/>
      </w:pPr>
      <w:r>
        <w:rPr>
          <w:b/>
          <w:bCs/>
        </w:rPr>
        <w:t xml:space="preserve">4.4.3 Domain-Based Workflow: </w:t>
      </w:r>
      <w:r>
        <w:t xml:space="preserve">To counter the constraint of having fewer members, task allocation is being entirely restructured. Work will now be distributed strictly on a domain based model rather than generalized tasks, ensuring higher quality output and aggressive time management.</w:t>
      </w:r>
    </w:p>
    <w:p>
      <w:pPr>
        <w:pStyle w:val="Heading1"/>
        <w:keepNext/>
        <w:spacing w:after="200" w:before="0" w:line="264" w:lineRule="auto"/>
      </w:pPr>
      <w:r>
        <w:t xml:space="preserve">5. Final Outcomes &amp; Strategic Roadmap for the Next Cycle</w:t>
      </w:r>
    </w:p>
    <w:p>
      <w:pPr>
        <w:pStyle w:val="Heading2"/>
        <w:keepNext/>
        <w:spacing w:after="200" w:before="0" w:line="264" w:lineRule="auto"/>
      </w:pPr>
      <w:r>
        <w:t xml:space="preserve">5.1 Closing Note on Past Performance</w:t>
      </w:r>
    </w:p>
    <w:p>
      <w:pPr>
        <w:spacing w:after="200" w:before="0" w:line="264" w:lineRule="auto"/>
      </w:pPr>
      <w:r>
        <w:t xml:space="preserve">While our conceptual corporate designs (minimalistic logo, jerseys) and business models (Inferno Exchange) were incredibly strong and innovative, final execution failed due to poor timeline management and deadline tracking, ultimately costing the team its PIMA presentation.</w:t>
      </w:r>
    </w:p>
    <w:p>
      <w:pPr>
        <w:pStyle w:val="Heading2"/>
        <w:keepNext/>
        <w:spacing w:after="120" w:before="0" w:line="264" w:lineRule="auto"/>
      </w:pPr>
      <w:r>
        <w:t xml:space="preserve">5.2 The Roadmap for Next Year</w:t>
      </w:r>
    </w:p>
    <w:p>
      <w:pPr>
        <w:pStyle w:val="ListParagraph"/>
        <w:numPr>
          <w:ilvl w:val="0"/>
          <w:numId w:val="2"/>
        </w:numPr>
        <w:spacing w:after="0" w:before="0" w:line="264" w:lineRule="auto"/>
      </w:pPr>
      <w:r>
        <w:rPr>
          <w:b/>
          <w:bCs/>
        </w:rPr>
        <w:t xml:space="preserve">5.2.1 Visual Identity: </w:t>
      </w:r>
      <w:r>
        <w:t xml:space="preserve">We will retain the formal, minimalistic logo, but the jersey designs will be updated to align with current professional trends.</w:t>
      </w:r>
    </w:p>
    <w:p>
      <w:pPr>
        <w:pStyle w:val="ListParagraph"/>
        <w:numPr>
          <w:ilvl w:val="0"/>
          <w:numId w:val="2"/>
        </w:numPr>
        <w:spacing w:after="0" w:before="0" w:line="264" w:lineRule="auto"/>
      </w:pPr>
      <w:r>
        <w:rPr>
          <w:b/>
          <w:bCs/>
        </w:rPr>
        <w:t xml:space="preserve">5.2.2 Asset Documentation Protocol: </w:t>
      </w:r>
      <w:r>
        <w:t xml:space="preserve">To eliminate last-minute disorganization, we are implementing a strict documentation checklist for all required deliverables (standees, visiting cards, brochures, team stickers, and sponsor stickers) to ensure they are procured well in advance.</w:t>
      </w:r>
    </w:p>
    <w:p>
      <w:pPr>
        <w:pStyle w:val="ListParagraph"/>
        <w:numPr>
          <w:ilvl w:val="0"/>
          <w:numId w:val="2"/>
        </w:numPr>
        <w:spacing w:after="0" w:before="0" w:line="264" w:lineRule="auto"/>
      </w:pPr>
      <w:r>
        <w:rPr>
          <w:b/>
          <w:bCs/>
        </w:rPr>
        <w:t xml:space="preserve">5.2.3 Workflow Optimization: </w:t>
      </w:r>
      <w:r>
        <w:t xml:space="preserve">The shift to domain-based task distribution will be strictly enforced to maximize the efficiency of our corporate team members, ensuring high-quality, on-time delivery across all fronts.</w:t>
      </w:r>
    </w:p>
    <w:p>
      <w:pPr>
        <w:pStyle w:val="Title"/>
        <w:keepNext/>
        <w:pageBreakBefore/>
        <w:spacing w:after="120" w:before="0" w:line="264" w:lineRule="auto"/>
        <w:jc w:val="center"/>
      </w:pPr>
      <w:r>
        <w:t xml:space="preserve">BPP IRC 2025</w:t>
      </w:r>
    </w:p>
    <w:p>
      <w:pPr>
        <w:pStyle w:val="Heading1"/>
        <w:keepNext/>
        <w:spacing w:after="200" w:before="0" w:line="264" w:lineRule="auto"/>
      </w:pPr>
      <w:r>
        <w:t xml:space="preserve">1. Executive Overview</w:t>
      </w:r>
    </w:p>
    <w:p>
      <w:pPr>
        <w:spacing w:after="200" w:before="0" w:line="264" w:lineRule="auto"/>
      </w:pPr>
      <w:r>
        <w:t xml:space="preserve">For IRC 2025, our BPP addressed a funding crisis scenario and proposed the InfernoCoin (IC), a profit-linked token that let partners invest across our projects, redeem our services, and take part in team decisions. The financial model was detailed and set our pitch apart from a conventional sponsorship request. However, the coin remained a standalone concept with no defined real-world mechanism for sponsors, a gap we closed in the following cycle with the Inferno Exchange.</w:t>
      </w:r>
    </w:p>
    <w:p>
      <w:pPr>
        <w:pStyle w:val="Heading1"/>
        <w:keepNext/>
        <w:spacing w:after="200" w:before="0" w:line="264" w:lineRule="auto"/>
      </w:pPr>
      <w:r>
        <w:t xml:space="preserve">2. Problem Statement &amp; Approach</w:t>
      </w:r>
    </w:p>
    <w:p>
      <w:pPr>
        <w:pStyle w:val="Heading2"/>
        <w:keepNext/>
        <w:spacing w:after="200" w:before="0" w:line="264" w:lineRule="auto"/>
      </w:pPr>
      <w:r>
        <w:t xml:space="preserve">2.1 Problem Statement</w:t>
      </w:r>
    </w:p>
    <w:p>
      <w:pPr>
        <w:spacing w:after="200" w:before="0" w:line="264" w:lineRule="auto"/>
      </w:pPr>
      <w:r>
        <w:t xml:space="preserve">In January 2025, the team faced a funding halt as sponsors and the university withdrew support due to a global economic shutdown. The goal was to revive development by securing new sponsorships through professional email outreach and a stronger online presence.</w:t>
      </w:r>
    </w:p>
    <w:p>
      <w:pPr>
        <w:pStyle w:val="Heading2"/>
        <w:keepNext/>
        <w:spacing w:after="120" w:before="0" w:line="264" w:lineRule="auto"/>
      </w:pPr>
      <w:r>
        <w:t xml:space="preserve">2.2 Our Approach</w:t>
      </w:r>
    </w:p>
    <w:p>
      <w:pPr>
        <w:pStyle w:val="ListParagraph"/>
        <w:numPr>
          <w:ilvl w:val="0"/>
          <w:numId w:val="2"/>
        </w:numPr>
        <w:spacing w:after="0" w:before="0" w:line="264" w:lineRule="auto"/>
      </w:pPr>
      <w:r>
        <w:rPr>
          <w:b/>
          <w:bCs/>
        </w:rPr>
        <w:t xml:space="preserve">2.2.1 Target Partners: </w:t>
      </w:r>
      <w:r>
        <w:t xml:space="preserve">Companies seeking diversified investments, firms in essential fields, and organizations looking for the next big thing.</w:t>
      </w:r>
    </w:p>
    <w:p>
      <w:pPr>
        <w:pStyle w:val="ListParagraph"/>
        <w:numPr>
          <w:ilvl w:val="0"/>
          <w:numId w:val="2"/>
        </w:numPr>
        <w:spacing w:after="0" w:before="0" w:line="264" w:lineRule="auto"/>
      </w:pPr>
      <w:r>
        <w:rPr>
          <w:b/>
          <w:bCs/>
        </w:rPr>
        <w:t xml:space="preserve">2.2.2 Our Offering: </w:t>
      </w:r>
      <w:r>
        <w:t xml:space="preserve">Our R&amp;D capability and a strong student community, backed by a track record of cost-effective projects.</w:t>
      </w:r>
    </w:p>
    <w:p>
      <w:pPr>
        <w:pStyle w:val="ListParagraph"/>
        <w:numPr>
          <w:ilvl w:val="0"/>
          <w:numId w:val="2"/>
        </w:numPr>
        <w:spacing w:after="120" w:before="0" w:line="264" w:lineRule="auto"/>
      </w:pPr>
      <w:r>
        <w:rPr>
          <w:b/>
          <w:bCs/>
        </w:rPr>
        <w:t xml:space="preserve">2.2.3 Incentive Model: </w:t>
      </w:r>
      <w:r>
        <w:t xml:space="preserve">The InfernoCoin, giving partners both a financial and a service-based return on collaboration.</w:t>
      </w:r>
    </w:p>
    <w:p>
      <w:pPr>
        <w:pStyle w:val="Heading1"/>
        <w:keepNext/>
        <w:spacing w:after="200" w:before="0" w:line="264" w:lineRule="auto"/>
      </w:pPr>
      <w:r>
        <w:t xml:space="preserve">3. The InfernoCoin Model</w:t>
      </w:r>
    </w:p>
    <w:p>
      <w:pPr>
        <w:pStyle w:val="Heading2"/>
        <w:keepNext/>
        <w:spacing w:after="120" w:before="0" w:line="264" w:lineRule="auto"/>
      </w:pPr>
      <w:r>
        <w:t xml:space="preserve">3.1 Core Structure</w:t>
      </w:r>
    </w:p>
    <w:p>
      <w:pPr>
        <w:pStyle w:val="ListParagraph"/>
        <w:numPr>
          <w:ilvl w:val="0"/>
          <w:numId w:val="2"/>
        </w:numPr>
        <w:spacing w:after="0" w:before="0" w:line="264" w:lineRule="auto"/>
      </w:pPr>
      <w:r>
        <w:rPr>
          <w:b/>
          <w:bCs/>
        </w:rPr>
        <w:t xml:space="preserve">3.1.1 Supply &amp; Value: </w:t>
      </w:r>
      <w:r>
        <w:t xml:space="preserve">10,000 ICs collectively holding 10% of our profits from collaborative projects, at an initial value of Rs. 50 per coin.</w:t>
      </w:r>
    </w:p>
    <w:p>
      <w:pPr>
        <w:pStyle w:val="ListParagraph"/>
        <w:numPr>
          <w:ilvl w:val="0"/>
          <w:numId w:val="2"/>
        </w:numPr>
        <w:spacing w:after="0" w:before="0" w:line="264" w:lineRule="auto"/>
      </w:pPr>
      <w:r>
        <w:rPr>
          <w:b/>
          <w:bCs/>
        </w:rPr>
        <w:t xml:space="preserve">3.1.2 Allocation: </w:t>
      </w:r>
      <w:r>
        <w:t xml:space="preserve">35% for profit sharing with R&amp;D partners, 14% for an investment pool, and 51% held as a team reserve to retain majority control.</w:t>
      </w:r>
    </w:p>
    <w:p>
      <w:pPr>
        <w:pStyle w:val="ListParagraph"/>
        <w:numPr>
          <w:ilvl w:val="0"/>
          <w:numId w:val="2"/>
        </w:numPr>
        <w:spacing w:after="0" w:before="0" w:line="264" w:lineRule="auto"/>
      </w:pPr>
      <w:r>
        <w:rPr>
          <w:b/>
          <w:bCs/>
        </w:rPr>
        <w:t xml:space="preserve">3.1.3 Issuance Logic: </w:t>
      </w:r>
      <w:r>
        <w:t xml:space="preserve">Coins were awarded based on a partner's share of total contributions, adjusted for workload weight, while the profit share was calculated from workload weight and collaborator effect.</w:t>
      </w:r>
    </w:p>
    <w:p>
      <w:pPr>
        <w:pStyle w:val="ListParagraph"/>
        <w:numPr>
          <w:ilvl w:val="0"/>
          <w:numId w:val="2"/>
        </w:numPr>
        <w:spacing w:after="0" w:before="0" w:line="264" w:lineRule="auto"/>
      </w:pPr>
      <w:r>
        <w:rPr>
          <w:b/>
          <w:bCs/>
        </w:rPr>
        <w:t xml:space="preserve">3.1.4 Redeemable Services: </w:t>
      </w:r>
      <w:r>
        <w:t xml:space="preserve">ICs could be redeemed for educational resources (Rs. 5,000), data and analytics (Rs. 6,000), design and marketing (Rs. 8,000), and promotional services (Rs. 8,000), priced dynamically with the IC value.</w:t>
      </w:r>
    </w:p>
    <w:p>
      <w:pPr>
        <w:pStyle w:val="ListParagraph"/>
        <w:numPr>
          <w:ilvl w:val="0"/>
          <w:numId w:val="2"/>
        </w:numPr>
        <w:spacing w:after="120" w:before="0" w:line="264" w:lineRule="auto"/>
      </w:pPr>
      <w:r>
        <w:rPr>
          <w:b/>
          <w:bCs/>
        </w:rPr>
        <w:t xml:space="preserve">3.1.5 Holder Benefits: </w:t>
      </w:r>
      <w:r>
        <w:t xml:space="preserve">Tiered discounts on our services (Bronze 10%, Silver 15%, Gold 25%), voting rights on collaborations and strategy, and access to the Inferno Community Forum &amp; Trading Hub for networking and trading.</w:t>
      </w:r>
    </w:p>
    <w:p>
      <w:pPr>
        <w:pStyle w:val="Heading1"/>
        <w:keepNext/>
        <w:spacing w:after="200" w:before="0" w:line="264" w:lineRule="auto"/>
      </w:pPr>
      <w:r>
        <w:t xml:space="preserve">4. Supporting Deliverables</w:t>
      </w:r>
    </w:p>
    <w:p>
      <w:pPr>
        <w:pStyle w:val="Heading2"/>
        <w:keepNext/>
        <w:spacing w:after="120" w:before="0" w:line="264" w:lineRule="auto"/>
      </w:pPr>
      <w:r>
        <w:t xml:space="preserve">4.1 Other Tasks Completed</w:t>
      </w:r>
    </w:p>
    <w:p>
      <w:pPr>
        <w:pStyle w:val="ListParagraph"/>
        <w:numPr>
          <w:ilvl w:val="0"/>
          <w:numId w:val="2"/>
        </w:numPr>
        <w:spacing w:after="0" w:before="0" w:line="264" w:lineRule="auto"/>
      </w:pPr>
      <w:r>
        <w:rPr>
          <w:b/>
          <w:bCs/>
        </w:rPr>
        <w:t xml:space="preserve">4.1.1 Website: </w:t>
      </w:r>
      <w:r>
        <w:t xml:space="preserve">Built infernodtu.in as a sponsor-facing site with a partnership call to action, competition pages, achievements, and a sponsor showcase.</w:t>
      </w:r>
    </w:p>
    <w:p>
      <w:pPr>
        <w:pStyle w:val="ListParagraph"/>
        <w:numPr>
          <w:ilvl w:val="0"/>
          <w:numId w:val="2"/>
        </w:numPr>
        <w:spacing w:after="0" w:before="0" w:line="264" w:lineRule="auto"/>
      </w:pPr>
      <w:r>
        <w:rPr>
          <w:b/>
          <w:bCs/>
        </w:rPr>
        <w:t xml:space="preserve">4.1.2 Social Media: </w:t>
      </w:r>
      <w:r>
        <w:t xml:space="preserve">Ran the "Ready for IRC 2025" campaign.</w:t>
      </w:r>
    </w:p>
    <w:p>
      <w:pPr>
        <w:pStyle w:val="ListParagraph"/>
        <w:numPr>
          <w:ilvl w:val="0"/>
          <w:numId w:val="2"/>
        </w:numPr>
        <w:spacing w:after="120" w:before="0" w:line="264" w:lineRule="auto"/>
      </w:pPr>
      <w:r>
        <w:rPr>
          <w:b/>
          <w:bCs/>
        </w:rPr>
        <w:t xml:space="preserve">4.1.3 Strategic Alliance Plan: </w:t>
      </w:r>
      <w:r>
        <w:t xml:space="preserve">Prepared a partnership proposal document for sponsor outreach.</w:t>
      </w:r>
    </w:p>
    <w:p>
      <w:pPr>
        <w:pStyle w:val="Heading1"/>
        <w:keepNext/>
        <w:spacing w:after="200" w:before="0" w:line="264" w:lineRule="auto"/>
      </w:pPr>
      <w:r>
        <w:t xml:space="preserve">5. Performance Analysis &amp; Lessons Learned</w:t>
      </w:r>
    </w:p>
    <w:p>
      <w:pPr>
        <w:pStyle w:val="Heading2"/>
        <w:keepNext/>
        <w:spacing w:after="120" w:before="0" w:line="264" w:lineRule="auto"/>
      </w:pPr>
      <w:r>
        <w:t xml:space="preserve">5.1 Strengths</w:t>
      </w:r>
    </w:p>
    <w:p>
      <w:pPr>
        <w:pStyle w:val="ListParagraph"/>
        <w:numPr>
          <w:ilvl w:val="0"/>
          <w:numId w:val="2"/>
        </w:numPr>
        <w:spacing w:after="0" w:before="0" w:line="264" w:lineRule="auto"/>
      </w:pPr>
      <w:r>
        <w:rPr>
          <w:b/>
          <w:bCs/>
        </w:rPr>
        <w:t xml:space="preserve">5.1.1 Financial Depth: </w:t>
      </w:r>
      <w:r>
        <w:t xml:space="preserve">A fully quantified model covering supply, pricing, allocation, issuance, and redemption.</w:t>
      </w:r>
    </w:p>
    <w:p>
      <w:pPr>
        <w:pStyle w:val="ListParagraph"/>
        <w:numPr>
          <w:ilvl w:val="0"/>
          <w:numId w:val="2"/>
        </w:numPr>
        <w:spacing w:after="0" w:before="0" w:line="264" w:lineRule="auto"/>
      </w:pPr>
      <w:r>
        <w:rPr>
          <w:b/>
          <w:bCs/>
        </w:rPr>
        <w:t xml:space="preserve">5.1.2 Layered Partner Value: </w:t>
      </w:r>
      <w:r>
        <w:t xml:space="preserve">Profit share, services, discounts, and governance gave partners several reasons to engage.</w:t>
      </w:r>
    </w:p>
    <w:p>
      <w:pPr>
        <w:pStyle w:val="ListParagraph"/>
        <w:numPr>
          <w:ilvl w:val="0"/>
          <w:numId w:val="2"/>
        </w:numPr>
        <w:spacing w:after="120" w:before="0" w:line="264" w:lineRule="auto"/>
      </w:pPr>
      <w:r>
        <w:rPr>
          <w:b/>
          <w:bCs/>
        </w:rPr>
        <w:t xml:space="preserve">5.1.3 Proof of Execution: </w:t>
      </w:r>
      <w:r>
        <w:t xml:space="preserve">The website, campaign, and alliance plan showed concrete outreach work alongside the concept.</w:t>
      </w:r>
    </w:p>
    <w:p>
      <w:pPr>
        <w:pStyle w:val="Heading2"/>
        <w:keepNext/>
        <w:spacing w:after="120" w:before="0" w:line="264" w:lineRule="auto"/>
      </w:pPr>
      <w:r>
        <w:t xml:space="preserve">5.2 Performance Issues</w:t>
      </w:r>
    </w:p>
    <w:p>
      <w:pPr>
        <w:pStyle w:val="ListParagraph"/>
        <w:numPr>
          <w:ilvl w:val="0"/>
          <w:numId w:val="2"/>
        </w:numPr>
        <w:spacing w:after="0" w:before="0" w:line="264" w:lineRule="auto"/>
      </w:pPr>
      <w:r>
        <w:rPr>
          <w:b/>
          <w:bCs/>
        </w:rPr>
        <w:t xml:space="preserve">5.2.1 Standalone Asset: </w:t>
      </w:r>
      <w:r>
        <w:t xml:space="preserve">We did not define how the coin would be issued, traded, or valued in practice, or how project profits would be measured and paid out. The IC lacked a real-world application for sponsors.</w:t>
      </w:r>
    </w:p>
    <w:p>
      <w:pPr>
        <w:pStyle w:val="ListParagraph"/>
        <w:numPr>
          <w:ilvl w:val="0"/>
          <w:numId w:val="2"/>
        </w:numPr>
        <w:spacing w:after="0" w:before="0" w:line="264" w:lineRule="auto"/>
      </w:pPr>
      <w:r>
        <w:rPr>
          <w:b/>
          <w:bCs/>
        </w:rPr>
        <w:t xml:space="preserve">5.2.2 Unproven Model: </w:t>
      </w:r>
      <w:r>
        <w:t xml:space="preserve">Key formula inputs were never quantified, and we did not show a worked example of a sponsor's contribution turning into coins and returns.</w:t>
      </w:r>
    </w:p>
    <w:p>
      <w:pPr>
        <w:pStyle w:val="ListParagraph"/>
        <w:numPr>
          <w:ilvl w:val="0"/>
          <w:numId w:val="2"/>
        </w:numPr>
        <w:spacing w:after="120" w:before="0" w:line="264" w:lineRule="auto"/>
      </w:pPr>
      <w:r>
        <w:rPr>
          <w:b/>
          <w:bCs/>
        </w:rPr>
        <w:t xml:space="preserve">5.2.3 Broad Targeting: </w:t>
      </w:r>
      <w:r>
        <w:t xml:space="preserve">Our target segments were not tied to specific industries or prospective sponsors.</w:t>
      </w:r>
    </w:p>
    <w:p>
      <w:pPr>
        <w:pStyle w:val="Heading2"/>
        <w:keepNext/>
        <w:spacing w:after="120" w:before="0" w:line="264" w:lineRule="auto"/>
      </w:pPr>
      <w:r>
        <w:t xml:space="preserve">5.3 Lessons Learned</w:t>
      </w:r>
    </w:p>
    <w:p>
      <w:pPr>
        <w:pStyle w:val="ListParagraph"/>
        <w:numPr>
          <w:ilvl w:val="0"/>
          <w:numId w:val="2"/>
        </w:numPr>
        <w:spacing w:after="0" w:before="0" w:line="264" w:lineRule="auto"/>
      </w:pPr>
      <w:r>
        <w:rPr>
          <w:b/>
          <w:bCs/>
        </w:rPr>
        <w:t xml:space="preserve">5.3.1 Build a Working Ecosystem: </w:t>
      </w:r>
      <w:r>
        <w:t xml:space="preserve">The coin needed a practical system in which sponsors actively exchange services and funds with us, which led to the Inferno Exchange.</w:t>
      </w:r>
    </w:p>
    <w:p>
      <w:pPr>
        <w:pStyle w:val="ListParagraph"/>
        <w:numPr>
          <w:ilvl w:val="0"/>
          <w:numId w:val="2"/>
        </w:numPr>
        <w:spacing w:after="0" w:before="0" w:line="264" w:lineRule="auto"/>
      </w:pPr>
      <w:r>
        <w:rPr>
          <w:b/>
          <w:bCs/>
        </w:rPr>
        <w:t xml:space="preserve">5.3.2 Show the Model Working: </w:t>
      </w:r>
      <w:r>
        <w:t xml:space="preserve">Every variable must be defined, with a clear walkthrough of a sponsor's journey from contribution to return.</w:t>
      </w:r>
    </w:p>
    <w:p>
      <w:pPr>
        <w:pStyle w:val="ListParagraph"/>
        <w:numPr>
          <w:ilvl w:val="0"/>
          <w:numId w:val="2"/>
        </w:numPr>
        <w:spacing w:after="0" w:before="0" w:line="264" w:lineRule="auto"/>
      </w:pPr>
      <w:r>
        <w:rPr>
          <w:b/>
          <w:bCs/>
        </w:rPr>
        <w:t xml:space="preserve">5.3.3 Target Specific Partners: </w:t>
      </w:r>
      <w:r>
        <w:t xml:space="preserve">Each segment must be mapped to concrete industries and prospective sponsors.</w:t>
      </w:r>
    </w:p>
    <w:p>
      <w:pPr>
        <w:pStyle w:val="Title"/>
        <w:keepNext/>
        <w:pageBreakBefore/>
        <w:spacing w:after="120" w:before="0" w:line="264" w:lineRule="auto"/>
        <w:jc w:val="center"/>
      </w:pPr>
      <w:r>
        <w:t xml:space="preserve">PIMA IRC 2025</w:t>
      </w:r>
    </w:p>
    <w:p>
      <w:pPr>
        <w:pStyle w:val="Heading1"/>
        <w:keepNext/>
        <w:spacing w:after="200" w:before="0" w:line="264" w:lineRule="auto"/>
      </w:pPr>
      <w:r>
        <w:t xml:space="preserve">1. Executive Overview</w:t>
      </w:r>
    </w:p>
    <w:p>
      <w:pPr>
        <w:spacing w:after="200" w:before="0" w:line="264" w:lineRule="auto"/>
      </w:pPr>
      <w:r>
        <w:t xml:space="preserve">For IRC 2025, our PIMA traced the transition from NAMBI 2.0 to ARŌHN. We identified four key setbacks in NAMBI 2.0 and presented our solutions under three pillars: members, monetary resources, and innovative engineering. The presentation showed clear corporate progress, with sponsorship rising from 28% to 43% of our funding and our social media reaching 100K accounts in 90 days. However, it lacked a project timeline, absolute budget figures, and test results for our technical solutions.</w:t>
      </w:r>
    </w:p>
    <w:p>
      <w:pPr>
        <w:pStyle w:val="Heading1"/>
        <w:keepNext/>
        <w:spacing w:after="200" w:before="0" w:line="264" w:lineRule="auto"/>
      </w:pPr>
      <w:r>
        <w:t xml:space="preserve">2. Members: Team Management</w:t>
      </w:r>
    </w:p>
    <w:p>
      <w:pPr>
        <w:pStyle w:val="Heading2"/>
        <w:keepNext/>
        <w:spacing w:after="120" w:before="0" w:line="264" w:lineRule="auto"/>
      </w:pPr>
      <w:r>
        <w:t xml:space="preserve">2.1 Team Structure &amp; Workflow</w:t>
      </w:r>
    </w:p>
    <w:p>
      <w:pPr>
        <w:pStyle w:val="ListParagraph"/>
        <w:numPr>
          <w:ilvl w:val="0"/>
          <w:numId w:val="2"/>
        </w:numPr>
        <w:spacing w:after="0" w:before="0" w:line="264" w:lineRule="auto"/>
      </w:pPr>
      <w:r>
        <w:rPr>
          <w:b/>
          <w:bCs/>
        </w:rPr>
        <w:t xml:space="preserve">2.1.1 Operational Cycle: </w:t>
      </w:r>
      <w:r>
        <w:t xml:space="preserve">Three months of training followed by R&amp;D in the first year, hands-on rover expertise after one year, and leadership roles after two years, followed by POR assignments and fresh recruitment.</w:t>
      </w:r>
    </w:p>
    <w:p>
      <w:pPr>
        <w:pStyle w:val="ListParagraph"/>
        <w:numPr>
          <w:ilvl w:val="0"/>
          <w:numId w:val="2"/>
        </w:numPr>
        <w:spacing w:after="120" w:before="0" w:line="264" w:lineRule="auto"/>
      </w:pPr>
      <w:r>
        <w:rPr>
          <w:b/>
          <w:bCs/>
        </w:rPr>
        <w:t xml:space="preserve">2.1.2 Project Management: </w:t>
      </w:r>
      <w:r>
        <w:t xml:space="preserve">Jira for priority-based deadlines, phase timelines, and cross-department progress tracking, supported by weekly team reviews.</w:t>
      </w:r>
    </w:p>
    <w:p>
      <w:pPr>
        <w:pStyle w:val="Heading1"/>
        <w:keepNext/>
        <w:spacing w:after="200" w:before="0" w:line="264" w:lineRule="auto"/>
      </w:pPr>
      <w:r>
        <w:t xml:space="preserve">3. Monetary Resources: Corporate Operations</w:t>
      </w:r>
    </w:p>
    <w:p>
      <w:pPr>
        <w:spacing w:after="200" w:before="0" w:line="264" w:lineRule="auto"/>
      </w:pPr>
      <w:r>
        <w:t xml:space="preserve">We presented the lack of monetary resources as "our beautiful constraint" and addressed it through an overhaul of our corporate operations.</w:t>
      </w:r>
    </w:p>
    <w:p>
      <w:pPr>
        <w:pStyle w:val="Heading2"/>
        <w:keepNext/>
        <w:spacing w:after="120" w:before="0" w:line="264" w:lineRule="auto"/>
      </w:pPr>
      <w:r>
        <w:t xml:space="preserve">3.1 Corporate Overhaul</w:t>
      </w:r>
    </w:p>
    <w:p>
      <w:pPr>
        <w:pStyle w:val="ListParagraph"/>
        <w:numPr>
          <w:ilvl w:val="0"/>
          <w:numId w:val="2"/>
        </w:numPr>
        <w:spacing w:after="0" w:before="0" w:line="264" w:lineRule="auto"/>
      </w:pPr>
      <w:r>
        <w:rPr>
          <w:b/>
          <w:bCs/>
        </w:rPr>
        <w:t xml:space="preserve">3.1.1 Target Partners: </w:t>
      </w:r>
      <w:r>
        <w:t xml:space="preserve">CSR initiatives, innovation-driven startups, student-focused organizations, and alumni-driven networks, approached through cold calling, emailing, and direct outreach.</w:t>
      </w:r>
    </w:p>
    <w:p>
      <w:pPr>
        <w:pStyle w:val="ListParagraph"/>
        <w:numPr>
          <w:ilvl w:val="0"/>
          <w:numId w:val="2"/>
        </w:numPr>
        <w:spacing w:after="0" w:before="0" w:line="264" w:lineRule="auto"/>
      </w:pPr>
      <w:r>
        <w:rPr>
          <w:b/>
          <w:bCs/>
        </w:rPr>
        <w:t xml:space="preserve">3.1.2 Our Offering: </w:t>
      </w:r>
      <w:r>
        <w:t xml:space="preserve">Hosting of and participation in events and seminars, and social media outreach.</w:t>
      </w:r>
    </w:p>
    <w:p>
      <w:pPr>
        <w:pStyle w:val="ListParagraph"/>
        <w:numPr>
          <w:ilvl w:val="0"/>
          <w:numId w:val="2"/>
        </w:numPr>
        <w:spacing w:after="120" w:before="0" w:line="264" w:lineRule="auto"/>
      </w:pPr>
      <w:r>
        <w:rPr>
          <w:b/>
          <w:bCs/>
        </w:rPr>
        <w:t xml:space="preserve">3.1.3 Outreach &amp; Reach: </w:t>
      </w:r>
      <w:r>
        <w:t xml:space="preserve">School outreach, rover demonstrations, and seminars, with 100K accounts reached on inferno.dtu in the last 90 days.</w:t>
      </w:r>
    </w:p>
    <w:p>
      <w:pPr>
        <w:pStyle w:val="Heading2"/>
        <w:keepNext/>
        <w:spacing w:after="120" w:before="0" w:line="264" w:lineRule="auto"/>
      </w:pPr>
      <w:r>
        <w:t xml:space="preserve">3.2 Funding &amp; Sponsors</w:t>
      </w:r>
    </w:p>
    <w:p>
      <w:pPr>
        <w:pStyle w:val="ListParagraph"/>
        <w:numPr>
          <w:ilvl w:val="0"/>
          <w:numId w:val="2"/>
        </w:numPr>
        <w:spacing w:after="0" w:before="0" w:line="264" w:lineRule="auto"/>
      </w:pPr>
      <w:r>
        <w:rPr>
          <w:b/>
          <w:bCs/>
        </w:rPr>
        <w:t xml:space="preserve">3.2.1 Funding Mix: </w:t>
      </w:r>
      <w:r>
        <w:t xml:space="preserve">Sponsorship rose from 28% to 43% of project funding between 2024 and 2025, while university funds fell from 67% to 55% and members' contributions from 5% to 2%.</w:t>
      </w:r>
    </w:p>
    <w:p>
      <w:pPr>
        <w:pStyle w:val="ListParagraph"/>
        <w:numPr>
          <w:ilvl w:val="0"/>
          <w:numId w:val="2"/>
        </w:numPr>
        <w:spacing w:after="120" w:before="0" w:line="264" w:lineRule="auto"/>
      </w:pPr>
      <w:r>
        <w:rPr>
          <w:b/>
          <w:bCs/>
        </w:rPr>
        <w:t xml:space="preserve">3.2.2 Sponsors (FY 2024-25): </w:t>
      </w:r>
      <w:r>
        <w:t xml:space="preserve">Ansys, NVIDIA, Altium, SolidWorks, Neutronium3D, Indian Circuits Pvt. Ltd., 69 Rigs, and SGR.</w:t>
      </w:r>
    </w:p>
    <w:p>
      <w:pPr>
        <w:pStyle w:val="Heading1"/>
        <w:keepNext/>
        <w:spacing w:after="200" w:before="0" w:line="264" w:lineRule="auto"/>
      </w:pPr>
      <w:r>
        <w:t xml:space="preserve">4. Innovative Engineering: Technical Solutions</w:t>
      </w:r>
    </w:p>
    <w:p>
      <w:pPr>
        <w:pStyle w:val="Heading2"/>
        <w:keepNext/>
        <w:spacing w:after="120" w:before="0" w:line="264" w:lineRule="auto"/>
      </w:pPr>
      <w:r>
        <w:t xml:space="preserve">4.1 Setbacks &amp; Solutions</w:t>
      </w:r>
    </w:p>
    <w:p>
      <w:pPr>
        <w:pStyle w:val="ListParagraph"/>
        <w:numPr>
          <w:ilvl w:val="0"/>
          <w:numId w:val="2"/>
        </w:numPr>
        <w:spacing w:after="0" w:before="0" w:line="264" w:lineRule="auto"/>
      </w:pPr>
      <w:r>
        <w:rPr>
          <w:b/>
          <w:bCs/>
        </w:rPr>
        <w:t xml:space="preserve">4.1.1 Autonomous Systems: </w:t>
      </w:r>
      <w:r>
        <w:t xml:space="preserve">The Kinect V2 had low compatibility, short range, no integrated IMU, and high sensitivity to light. We built custom ROS packages, trained ML models with specialized algorithms, implemented custom sensor fusion, and added a camera shade.</w:t>
      </w:r>
    </w:p>
    <w:p>
      <w:pPr>
        <w:pStyle w:val="ListParagraph"/>
        <w:numPr>
          <w:ilvl w:val="0"/>
          <w:numId w:val="2"/>
        </w:numPr>
        <w:spacing w:after="0" w:before="0" w:line="264" w:lineRule="auto"/>
      </w:pPr>
      <w:r>
        <w:rPr>
          <w:b/>
          <w:bCs/>
        </w:rPr>
        <w:t xml:space="preserve">4.1.2 Robotic Arm: </w:t>
      </w:r>
      <w:r>
        <w:t xml:space="preserve">The 5-DoF arm was imprecise due to an indirect gripper connection, and its gripper broke during a mission at IRC 2024. We moved to a 6-DoF design with a lead screw mechanism and custom gears, built in PETG and carbon fiber with failsafe mechanisms.</w:t>
      </w:r>
    </w:p>
    <w:p>
      <w:pPr>
        <w:pStyle w:val="ListParagraph"/>
        <w:numPr>
          <w:ilvl w:val="0"/>
          <w:numId w:val="2"/>
        </w:numPr>
        <w:spacing w:after="0" w:before="0" w:line="264" w:lineRule="auto"/>
      </w:pPr>
      <w:r>
        <w:rPr>
          <w:b/>
          <w:bCs/>
        </w:rPr>
        <w:t xml:space="preserve">4.1.3 Science Assembly: </w:t>
      </w:r>
      <w:r>
        <w:t xml:space="preserve">The standalone module relied on elastomers, was poorly placed, risked contamination, and was hard to integrate. We integrated it with the arm assembly, added an oleophobic layer, a closed test tube enclosure, and a sealed cache dropping mechanism, reduced its size, and added a cost-effective, modular Raman spectrometer.</w:t>
      </w:r>
    </w:p>
    <w:p>
      <w:pPr>
        <w:pStyle w:val="ListParagraph"/>
        <w:numPr>
          <w:ilvl w:val="0"/>
          <w:numId w:val="2"/>
        </w:numPr>
        <w:spacing w:after="120" w:before="0" w:line="264" w:lineRule="auto"/>
      </w:pPr>
      <w:r>
        <w:rPr>
          <w:b/>
          <w:bCs/>
        </w:rPr>
        <w:t xml:space="preserve">4.1.4 Electronics &amp; Mobility: </w:t>
      </w:r>
      <w:r>
        <w:t xml:space="preserve">Unreliable PCBs and small wheels were identified as a setback but were not covered with a dedicated solution.</w:t>
      </w:r>
    </w:p>
    <w:p>
      <w:pPr>
        <w:pStyle w:val="Heading1"/>
        <w:keepNext/>
        <w:spacing w:after="200" w:before="0" w:line="264" w:lineRule="auto"/>
      </w:pPr>
      <w:r>
        <w:t xml:space="preserve">5. Performance Analysis &amp; Lessons Learned</w:t>
      </w:r>
    </w:p>
    <w:p>
      <w:pPr>
        <w:pStyle w:val="Heading2"/>
        <w:keepNext/>
        <w:spacing w:after="120" w:before="0" w:line="264" w:lineRule="auto"/>
      </w:pPr>
      <w:r>
        <w:t xml:space="preserve">5.1 Strengths</w:t>
      </w:r>
    </w:p>
    <w:p>
      <w:pPr>
        <w:pStyle w:val="ListParagraph"/>
        <w:numPr>
          <w:ilvl w:val="0"/>
          <w:numId w:val="2"/>
        </w:numPr>
        <w:spacing w:after="0" w:before="0" w:line="264" w:lineRule="auto"/>
      </w:pPr>
      <w:r>
        <w:rPr>
          <w:b/>
          <w:bCs/>
        </w:rPr>
        <w:t xml:space="preserve">5.1.1 Clear Narrative: </w:t>
      </w:r>
      <w:r>
        <w:t xml:space="preserve">Every solution traced back to a specific setback under one of three pillars.</w:t>
      </w:r>
    </w:p>
    <w:p>
      <w:pPr>
        <w:pStyle w:val="ListParagraph"/>
        <w:numPr>
          <w:ilvl w:val="0"/>
          <w:numId w:val="2"/>
        </w:numPr>
        <w:spacing w:after="0" w:before="0" w:line="264" w:lineRule="auto"/>
      </w:pPr>
      <w:r>
        <w:rPr>
          <w:b/>
          <w:bCs/>
        </w:rPr>
        <w:t xml:space="preserve">5.1.2 Measurable Corporate Progress: </w:t>
      </w:r>
      <w:r>
        <w:t xml:space="preserve">A 15-point rise in sponsorship share, eight sponsors, and 100K accounts reached gave concrete evidence of the corporate overhaul.</w:t>
      </w:r>
    </w:p>
    <w:p>
      <w:pPr>
        <w:pStyle w:val="ListParagraph"/>
        <w:numPr>
          <w:ilvl w:val="0"/>
          <w:numId w:val="2"/>
        </w:numPr>
        <w:spacing w:after="120" w:before="0" w:line="264" w:lineRule="auto"/>
      </w:pPr>
      <w:r>
        <w:rPr>
          <w:b/>
          <w:bCs/>
        </w:rPr>
        <w:t xml:space="preserve">5.1.3 Sustainable Team Model: </w:t>
      </w:r>
      <w:r>
        <w:t xml:space="preserve">The operational cycle showed how knowledge and leadership pass between batches.</w:t>
      </w:r>
    </w:p>
    <w:p>
      <w:pPr>
        <w:pStyle w:val="Heading2"/>
        <w:keepNext/>
        <w:spacing w:after="120" w:before="0" w:line="264" w:lineRule="auto"/>
      </w:pPr>
      <w:r>
        <w:t xml:space="preserve">5.2 Performance Issues</w:t>
      </w:r>
    </w:p>
    <w:p>
      <w:pPr>
        <w:pStyle w:val="ListParagraph"/>
        <w:numPr>
          <w:ilvl w:val="0"/>
          <w:numId w:val="2"/>
        </w:numPr>
        <w:spacing w:after="0" w:before="0" w:line="264" w:lineRule="auto"/>
      </w:pPr>
      <w:r>
        <w:rPr>
          <w:b/>
          <w:bCs/>
        </w:rPr>
        <w:t xml:space="preserve">5.2.1 No Project Plan: </w:t>
      </w:r>
      <w:r>
        <w:t xml:space="preserve">We did not present a build timeline, milestones, or a risk and contingency plan for ARŌHN, leaving the implementation side of the assessment largely unaddressed.</w:t>
      </w:r>
    </w:p>
    <w:p>
      <w:pPr>
        <w:pStyle w:val="ListParagraph"/>
        <w:numPr>
          <w:ilvl w:val="0"/>
          <w:numId w:val="2"/>
        </w:numPr>
        <w:spacing w:after="0" w:before="0" w:line="264" w:lineRule="auto"/>
      </w:pPr>
      <w:r>
        <w:rPr>
          <w:b/>
          <w:bCs/>
        </w:rPr>
        <w:t xml:space="preserve">5.2.2 No Financial Figures: </w:t>
      </w:r>
      <w:r>
        <w:t xml:space="preserve">Funding was shown only as percentages, with no totals, project cost, or spending breakdown, so it could not show whether sponsorship grew in value or university funding simply fell.</w:t>
      </w:r>
    </w:p>
    <w:p>
      <w:pPr>
        <w:pStyle w:val="ListParagraph"/>
        <w:numPr>
          <w:ilvl w:val="0"/>
          <w:numId w:val="2"/>
        </w:numPr>
        <w:spacing w:after="0" w:before="0" w:line="264" w:lineRule="auto"/>
      </w:pPr>
      <w:r>
        <w:rPr>
          <w:b/>
          <w:bCs/>
        </w:rPr>
        <w:t xml:space="preserve">5.2.3 Unproven Solutions: </w:t>
      </w:r>
      <w:r>
        <w:t xml:space="preserve">Technical fixes were listed without test data or comparisons against NAMBI 2.0, and the electronics and mobility setback had no solution.</w:t>
      </w:r>
    </w:p>
    <w:p>
      <w:pPr>
        <w:pStyle w:val="ListParagraph"/>
        <w:numPr>
          <w:ilvl w:val="0"/>
          <w:numId w:val="2"/>
        </w:numPr>
        <w:spacing w:after="120" w:before="0" w:line="264" w:lineRule="auto"/>
      </w:pPr>
      <w:r>
        <w:rPr>
          <w:b/>
          <w:bCs/>
        </w:rPr>
        <w:t xml:space="preserve">5.2.4 Generic Sponsor Offering: </w:t>
      </w:r>
      <w:r>
        <w:t xml:space="preserve">Our offering was limited to events and social media outreach, with no defined deliverables or packages for sponsors.</w:t>
      </w:r>
    </w:p>
    <w:p>
      <w:pPr>
        <w:pStyle w:val="Heading2"/>
        <w:keepNext/>
        <w:spacing w:after="120" w:before="0" w:line="264" w:lineRule="auto"/>
      </w:pPr>
      <w:r>
        <w:t xml:space="preserve">5.3 Lessons Learned</w:t>
      </w:r>
    </w:p>
    <w:p>
      <w:pPr>
        <w:pStyle w:val="ListParagraph"/>
        <w:numPr>
          <w:ilvl w:val="0"/>
          <w:numId w:val="2"/>
        </w:numPr>
        <w:spacing w:after="0" w:before="0" w:line="264" w:lineRule="auto"/>
      </w:pPr>
      <w:r>
        <w:rPr>
          <w:b/>
          <w:bCs/>
        </w:rPr>
        <w:t xml:space="preserve">5.3.1 Present the Plan: </w:t>
      </w:r>
      <w:r>
        <w:t xml:space="preserve">Include a project timeline, key milestones, and contingency plans.</w:t>
      </w:r>
    </w:p>
    <w:p>
      <w:pPr>
        <w:pStyle w:val="ListParagraph"/>
        <w:numPr>
          <w:ilvl w:val="0"/>
          <w:numId w:val="2"/>
        </w:numPr>
        <w:spacing w:after="0" w:before="0" w:line="264" w:lineRule="auto"/>
      </w:pPr>
      <w:r>
        <w:rPr>
          <w:b/>
          <w:bCs/>
        </w:rPr>
        <w:t xml:space="preserve">5.3.2 Back Funding with Numbers: </w:t>
      </w:r>
      <w:r>
        <w:t xml:space="preserve">Show absolute funding, project cost, and spending.</w:t>
      </w:r>
    </w:p>
    <w:p>
      <w:pPr>
        <w:pStyle w:val="ListParagraph"/>
        <w:numPr>
          <w:ilvl w:val="0"/>
          <w:numId w:val="2"/>
        </w:numPr>
        <w:spacing w:after="0" w:before="0" w:line="264" w:lineRule="auto"/>
      </w:pPr>
      <w:r>
        <w:rPr>
          <w:b/>
          <w:bCs/>
        </w:rPr>
        <w:t xml:space="preserve">5.3.3 Prove Every Solution: </w:t>
      </w:r>
      <w:r>
        <w:t xml:space="preserve">Back each fix with test results and cover every setback raised.</w:t>
      </w:r>
    </w:p>
    <w:p>
      <w:pPr>
        <w:pStyle w:val="ListParagraph"/>
        <w:numPr>
          <w:ilvl w:val="0"/>
          <w:numId w:val="2"/>
        </w:numPr>
        <w:spacing w:after="0" w:before="0" w:line="264" w:lineRule="auto"/>
      </w:pPr>
      <w:r>
        <w:rPr>
          <w:b/>
          <w:bCs/>
        </w:rPr>
        <w:t xml:space="preserve">5.3.4 Define Sponsor Value: </w:t>
      </w:r>
      <w:r>
        <w:t xml:space="preserve">Present concrete deliverables for sponsors, backed by reach and engagement data.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oogle Sans">
    <w:altName w:val="Arial"/>
    <w:charset w:val="00"/>
    <w:family w:val="swiss"/>
    <w:pitch w:val="variable"/>
  </w:font>
  <w:font w:name="Arial">
    <w:panose1 w:val="020B0604020202020204"/>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4" w:hanging="360"/>
      </w:pPr>
      <w:rPr>
        <w:rFonts w:ascii="Arial" w:cs="Arial" w:eastAsia="Arial" w:hAnsi="Arial"/>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w:cs="Google Sans" w:eastAsia="Google Sans" w:hAnsi="Google Sans"/>
        <w:color w:val="1F1F1F"/>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64" w:lineRule="auto"/>
      <w:jc w:val="center"/>
    </w:pPr>
    <w:rPr>
      <w:rFonts w:ascii="Google Sans" w:cs="Google Sans" w:eastAsia="Google Sans" w:hAnsi="Google Sans"/>
      <w:b/>
      <w:bCs/>
      <w:color w:val="1F1F1F"/>
      <w:sz w:val="48"/>
      <w:szCs w:val="48"/>
    </w:rPr>
  </w:style>
  <w:style w:type="paragraph" w:styleId="Heading1">
    <w:name w:val="Heading 1"/>
    <w:basedOn w:val="Normal"/>
    <w:next w:val="Normal"/>
    <w:qFormat/>
    <w:pPr>
      <w:spacing w:after="200" w:before="0" w:line="264" w:lineRule="auto"/>
      <w:outlineLvl w:val="0"/>
    </w:pPr>
    <w:rPr>
      <w:rFonts w:ascii="Google Sans" w:cs="Google Sans" w:eastAsia="Google Sans" w:hAnsi="Google Sans"/>
      <w:b/>
      <w:bCs/>
      <w:color w:val="1F1F1F"/>
      <w:sz w:val="22"/>
      <w:szCs w:val="22"/>
    </w:rPr>
  </w:style>
  <w:style w:type="paragraph" w:styleId="Heading2">
    <w:name w:val="Heading 2"/>
    <w:basedOn w:val="Normal"/>
    <w:next w:val="Normal"/>
    <w:qFormat/>
    <w:pPr>
      <w:spacing w:after="200" w:before="0" w:line="264" w:lineRule="auto"/>
      <w:outlineLvl w:val="1"/>
    </w:pPr>
    <w:rPr>
      <w:rFonts w:ascii="Google Sans" w:cs="Google Sans" w:eastAsia="Google Sans" w:hAnsi="Google Sans"/>
      <w:b/>
      <w:bCs/>
      <w:color w:val="1F1F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Inferno Corporate Report</dc:title>
  <dc:creator>Team Inferno</dc:creator>
  <cp:lastModifiedBy>Team Inferno</cp:lastModifiedBy>
  <cp:revision>1</cp:revision>
  <dcterms:created xsi:type="dcterms:W3CDTF">2026-10-26T15:08:00.920Z</dcterms:created>
  <dcterms:modified xsi:type="dcterms:W3CDTF">2026-10-26T15:08:00.920Z</dcterms:modified>
</cp:coreProperties>
</file>

<file path=docProps/custom.xml><?xml version="1.0" encoding="utf-8"?>
<Properties xmlns="http://schemas.openxmlformats.org/officeDocument/2006/custom-properties" xmlns:vt="http://schemas.openxmlformats.org/officeDocument/2006/docPropsVTypes"/>
</file>