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8"/>
        </w:pBdr>
        <w:spacing w:after="200"/>
      </w:pPr>
      <w:r>
        <w:rPr>
          <w:rFonts w:ascii="Calibri" w:cs="Calibri" w:eastAsia="Calibri" w:hAnsi="Calibri"/>
          <w:b/>
          <w:bCs/>
          <w:color w:val="1F4E79"/>
          <w:sz w:val="40"/>
          <w:szCs w:val="40"/>
        </w:rPr>
        <w:t xml:space="preserve">Planejamento Automatizado aplicado ao cumprimento de protocolos legais em visitas domiciliares de Agentes Comunitários de Saúde</w:t>
      </w:r>
    </w:p>
    <w:p>
      <w:pPr>
        <w:spacing w:after="60"/>
      </w:pPr>
      <w:r>
        <w:rPr>
          <w:rFonts w:ascii="Calibri" w:cs="Calibri" w:eastAsia="Calibri" w:hAnsi="Calibri"/>
          <w:b/>
          <w:bCs/>
          <w:i w:val="false"/>
          <w:iCs w:val="false"/>
          <w:sz w:val="22"/>
          <w:szCs w:val="22"/>
        </w:rPr>
        <w:t xml:space="preserve">Projeto em Ciência e Inovação (INF99003), Ciclo 2</w:t>
      </w:r>
    </w:p>
    <w:p>
      <w:pPr>
        <w:spacing w:after="60"/>
      </w:pPr>
      <w:r>
        <w:rPr>
          <w:rFonts w:ascii="Calibri" w:cs="Calibri" w:eastAsia="Calibri" w:hAnsi="Calibri"/>
          <w:i w:val="false"/>
          <w:iCs w:val="false"/>
          <w:sz w:val="22"/>
          <w:szCs w:val="22"/>
        </w:rPr>
        <w:t xml:space="preserve">Gabriel Pieruccini Knopp · Arthur Andrade da Silva · Izadora Candotti de Oliveira</w:t>
      </w:r>
    </w:p>
    <w:p>
      <w:pPr>
        <w:spacing w:after="60"/>
      </w:pPr>
      <w:r>
        <w:rPr>
          <w:rFonts w:ascii="Calibri" w:cs="Calibri" w:eastAsia="Calibri" w:hAnsi="Calibri"/>
          <w:i w:val="false"/>
          <w:iCs w:val="false"/>
          <w:sz w:val="22"/>
          <w:szCs w:val="22"/>
        </w:rPr>
        <w:t xml:space="preserve">Grupo B, Instituto de Informática, UFRGS</w:t>
      </w:r>
    </w:p>
    <w:p>
      <w:pPr>
        <w:pStyle w:val="Heading1"/>
        <w:spacing w:after="180" w:before="360"/>
      </w:pPr>
      <w:r>
        <w:rPr>
          <w:rFonts w:ascii="Calibri" w:cs="Calibri" w:eastAsia="Calibri" w:hAnsi="Calibri"/>
          <w:b/>
          <w:bCs/>
          <w:color w:val="2E74B5"/>
          <w:sz w:val="28"/>
          <w:szCs w:val="28"/>
        </w:rPr>
        <w:t xml:space="preserve">1. Resumo e Palavras-Chave</w:t>
      </w:r>
    </w:p>
    <w:p>
      <w:pPr>
        <w:spacing w:after="160" w:line="276"/>
        <w:jc w:val="both"/>
      </w:pPr>
      <w:r>
        <w:rPr>
          <w:rFonts w:ascii="Calibri" w:cs="Calibri" w:eastAsia="Calibri" w:hAnsi="Calibri"/>
          <w:b/>
          <w:bCs/>
          <w:i w:val="false"/>
          <w:iCs w:val="false"/>
          <w:sz w:val="22"/>
          <w:szCs w:val="22"/>
        </w:rPr>
        <w:t xml:space="preserve">Resumo.</w:t>
      </w:r>
      <w:r>
        <w:rPr>
          <w:rFonts w:ascii="Calibri" w:cs="Calibri" w:eastAsia="Calibri" w:hAnsi="Calibri"/>
          <w:i w:val="false"/>
          <w:iCs w:val="false"/>
          <w:sz w:val="22"/>
          <w:szCs w:val="22"/>
        </w:rPr>
        <w:t xml:space="preserve"> A Atenção Primária à Saúde no Brasil apoia-se nas visitas domiciliares realizadas por Agentes Comunitários de Saúde, cuja atuação é normatizada pela Lei nº 11.350/2006, na redação dada pela Lei nº 13.595/2018. Procedimentos como a aferição de pressão arterial e a medição de glicemia capilar estão condicionados, pelo art. 3º § 4º, à conclusão de curso técnico, à disponibilidade de equipamentos e à assistência de profissional de saúde de nível superior, e obrigam o encaminhamento do paciente à unidade de referência. A ordem das visitas pode ser resolvida por roteirizadores geométricos, mas o cumprimento dessas condições sob recursos finitos (insumos consumíveis e disponibilidade limitada do profissional supervisor) faz com que uma decisão tomada em uma residência afete a viabilidade das seguintes, configurando um problema combinatório que a otimização de percurso, isoladamente, não resolve. Este projeto propõe um sistema de apoio ao planejamento do turno organizado em duas camadas: uma camada geométrica, responsável pela sequência espacial das visitas, e uma camada lógica em Planejamento Automatizado (STRIPS/PDDL), responsável pelas ações em cada parada e pelos desvios de reabastecimento. Espera-se que a representação declarativa da norma permita identificar sequências de atendimento válidas que um método procedural classificaria como inexequíveis, e que alterações normativas possam ser absorvidas sem reescrita do código de busca. A validação prevista compara o sistema proposto com um executor procedural equivalente, sob a mesma tabela de custos, e mede a ocorrência desse tipo de erro, a qualidade dos planos e os limites de escalabilidade.</w:t>
      </w:r>
    </w:p>
    <w:p>
      <w:pPr>
        <w:spacing w:after="160" w:line="276"/>
        <w:jc w:val="both"/>
      </w:pPr>
      <w:r>
        <w:rPr>
          <w:rFonts w:ascii="Calibri" w:cs="Calibri" w:eastAsia="Calibri" w:hAnsi="Calibri"/>
          <w:b/>
          <w:bCs/>
          <w:i w:val="false"/>
          <w:iCs w:val="false"/>
          <w:sz w:val="22"/>
          <w:szCs w:val="22"/>
        </w:rPr>
        <w:t xml:space="preserve">Palavras-Chave:</w:t>
      </w:r>
      <w:r>
        <w:rPr>
          <w:rFonts w:ascii="Calibri" w:cs="Calibri" w:eastAsia="Calibri" w:hAnsi="Calibri"/>
          <w:i w:val="false"/>
          <w:iCs w:val="false"/>
          <w:sz w:val="22"/>
          <w:szCs w:val="22"/>
        </w:rPr>
        <w:t xml:space="preserve"> Planejamento Automatizado; PDDL; Atenção Primária à Saúde; Conformidade Normativa; Otimização de Rotas; Busca Heurística.</w:t>
      </w:r>
    </w:p>
    <w:p>
      <w:pPr>
        <w:pStyle w:val="Heading1"/>
        <w:spacing w:after="180" w:before="360"/>
      </w:pPr>
      <w:r>
        <w:rPr>
          <w:rFonts w:ascii="Calibri" w:cs="Calibri" w:eastAsia="Calibri" w:hAnsi="Calibri"/>
          <w:b/>
          <w:bCs/>
          <w:color w:val="2E74B5"/>
          <w:sz w:val="28"/>
          <w:szCs w:val="28"/>
        </w:rPr>
        <w:t xml:space="preserve">2. Introdução e Contextualização</w:t>
      </w:r>
    </w:p>
    <w:p>
      <w:pPr>
        <w:spacing w:after="160" w:line="276"/>
        <w:jc w:val="both"/>
      </w:pPr>
      <w:r>
        <w:rPr>
          <w:rFonts w:ascii="Calibri" w:cs="Calibri" w:eastAsia="Calibri" w:hAnsi="Calibri"/>
          <w:i w:val="false"/>
          <w:iCs w:val="false"/>
          <w:sz w:val="22"/>
          <w:szCs w:val="22"/>
        </w:rPr>
        <w:t xml:space="preserve">O ecossistema afetado é a Atenção Primária à Saúde do Sistema Único de Saúde, especificamente o processo de trabalho das equipes de Saúde da Família. Cada equipe responde por um território adscrito, subdividido em microáreas, e cada microárea fica sob responsabilidade de um Agente Comunitário de Saúde. A visita domiciliar é a atividade basilar desse profissional: a Política Nacional de Atenção Básica (BRASIL, 2017) a estabelece como ação central e orienta que sua periodicidade siga critérios de risco e vulnerabilidade. O agente opera com dados clínicos da população adscrita (gestantes, pessoas idosas, pessoas com diabetes ou hipertensão, crianças em puericultura), com o georreferenciamento das residências e com o histórico de visitas.</w:t>
      </w:r>
    </w:p>
    <w:p>
      <w:pPr>
        <w:spacing w:after="160" w:line="276"/>
        <w:jc w:val="both"/>
      </w:pPr>
      <w:r>
        <w:rPr>
          <w:rFonts w:ascii="Calibri" w:cs="Calibri" w:eastAsia="Calibri" w:hAnsi="Calibri"/>
          <w:i w:val="false"/>
          <w:iCs w:val="false"/>
          <w:sz w:val="22"/>
          <w:szCs w:val="22"/>
        </w:rPr>
        <w:t xml:space="preserve">Sobre esse trabalho incide uma camada normativa específica. A Lei nº 11.350/2006, na redação dada pela Lei nº 13.595/2018, distingue dois regimes de atividade. O art. 3º § 3º lista atividades típicas, exercidas sem condicionantes, entre elas o registro dos dados da visita e a verificação do estado vacinal de crianças, gestantes e pessoas idosas. Já o art. 3º § 4º lista atividades condicionadas, que só são atribuição do agente mediante requisitos cumulativos.</w:t>
      </w:r>
    </w:p>
    <w:p>
      <w:pPr>
        <w:spacing w:after="160" w:line="276"/>
        <w:jc w:val="both"/>
      </w:pPr>
      <w:r>
        <w:rPr>
          <w:rFonts w:ascii="Calibri" w:cs="Calibri" w:eastAsia="Calibri" w:hAnsi="Calibri"/>
          <w:i w:val="false"/>
          <w:iCs w:val="false"/>
          <w:sz w:val="22"/>
          <w:szCs w:val="22"/>
        </w:rPr>
        <w:t xml:space="preserve">O planejamento da visita domiciliar costuma ser tratado como um problema de percurso: minimizar deslocamento, cobrir o território no prazo, respeitar a capacidade da equipe. Essa formulação captura apenas parte do problema, porque chegar à residência correta não autoriza o atendimento. Para os procedimentos do § 4º, a permissão legal é uma conjunção de condições, e nem todas são estáticas. O curso técnico e o equipamento não variam ao longo do turno; a assistência do profissional de nível superior e os insumos consumíveis, sim. O agente que gastou a última fita reagente ou já mobilizou o supervisor não perdeu sua habilitação, mas, naquele momento e naquela residência, não pode executar o procedimento.</w:t>
      </w:r>
    </w:p>
    <w:p>
      <w:pPr>
        <w:spacing w:after="160" w:line="276"/>
        <w:jc w:val="both"/>
      </w:pPr>
      <w:r>
        <w:rPr>
          <w:rFonts w:ascii="Calibri" w:cs="Calibri" w:eastAsia="Calibri" w:hAnsi="Calibri"/>
          <w:i w:val="false"/>
          <w:iCs w:val="false"/>
          <w:sz w:val="22"/>
          <w:szCs w:val="22"/>
        </w:rPr>
        <w:t xml:space="preserve">Disso decorre a dor operacional central: a incapacidade de antecipar conflitos de recursos no decorrer do turno. Uma decisão tomada na terceira parada pode inviabilizar a sétima. Um planejamento que trate as paradas isoladamente, ou que otimize apenas a geometria do percurso, não enxerga esse acoplamento; quando o conflito se materializa, o agente é forçado a desvios não previstos até a Unidade Básica de Saúde e, no limite, à conclusão equivocada de que o turno é inexequível. A pergunta que os dados ocultam, portanto, não é qual o menor percurso, mas se determinada sequência de atendimentos é executável sem violar a norma, dados os recursos disponíveis.</w:t>
      </w:r>
    </w:p>
    <w:p>
      <w:pPr>
        <w:spacing w:after="160" w:line="276"/>
        <w:jc w:val="both"/>
      </w:pPr>
      <w:r>
        <w:rPr>
          <w:rFonts w:ascii="Calibri" w:cs="Calibri" w:eastAsia="Calibri" w:hAnsi="Calibri"/>
          <w:i w:val="false"/>
          <w:iCs w:val="false"/>
          <w:sz w:val="22"/>
          <w:szCs w:val="22"/>
        </w:rPr>
        <w:t xml:space="preserve">A hipótese que orienta o projeto é que a representação declarativa das condições legais, tratada por um planejador simbólico, reduzirá a ocorrência de falsos negativos, isto é, de turnos classificados como inexequíveis quando existe uma sequência de atendimentos válida, e que esse ganho justificará o custo de adotar o paradigma. A hipótese pode se mostrar incorreta, e o desenho de validação precisa admitir essa possibilidade. Dois desfechos alternativos são plausíveis: que um executor procedural simples alcance desempenho equivalente, tornando o planejador redundante; ou que o custo computacional da busca cresça a ponto de inviabilizar seu uso em microáreas de tamanho realista. A metodologia descrita na seção 6 foi construída para permitir que qualquer um dos três desfechos se manifeste.</w:t>
      </w:r>
    </w:p>
    <w:p>
      <w:pPr>
        <w:pStyle w:val="Heading1"/>
        <w:spacing w:after="180" w:before="360"/>
      </w:pPr>
      <w:r>
        <w:rPr>
          <w:rFonts w:ascii="Calibri" w:cs="Calibri" w:eastAsia="Calibri" w:hAnsi="Calibri"/>
          <w:b/>
          <w:bCs/>
          <w:color w:val="2E74B5"/>
          <w:sz w:val="28"/>
          <w:szCs w:val="28"/>
        </w:rPr>
        <w:t xml:space="preserve">3. Justificativa</w:t>
      </w:r>
    </w:p>
    <w:p>
      <w:pPr>
        <w:spacing w:after="160" w:line="276"/>
        <w:jc w:val="both"/>
      </w:pPr>
      <w:r>
        <w:rPr>
          <w:rFonts w:ascii="Calibri" w:cs="Calibri" w:eastAsia="Calibri" w:hAnsi="Calibri"/>
          <w:i w:val="false"/>
          <w:iCs w:val="false"/>
          <w:sz w:val="22"/>
          <w:szCs w:val="22"/>
        </w:rPr>
        <w:t xml:space="preserve">Sob a ótica do Manual de Oslo (OCDE/EUROSTAT, 2018), o projeto caracteriza-se como uma inovação de processo no setor público de saúde. O valor prático esperado não está na redução do tempo de deslocamento, que as ferramentas de roteirização já endereçam, e sim em três capacidades que o método procedural não oferece. A primeira é a corretude sob escassez: identificar sequências de atendimento executáveis em cenários nos quais um método ingênuo concluiria, equivocadamente, pela inexequibilidade do turno. A segunda é a demonstração de inviabilidade: quando o turno é de fato inexequível, distinguir "não encontrei solução" de "demonstra-se que não existe solução", resposta que constitui informação gerencial, pois indica à equipe que há pacientes a remanejar ou recursos a suprir. A terceira é a declaratividade: com a norma expressa como especificação, e não embutida no fluxo de controle do programa, alterações normativas passam a ser editadas onde a regra está escrita.</w:t>
      </w:r>
    </w:p>
    <w:p>
      <w:pPr>
        <w:spacing w:after="160" w:line="276"/>
        <w:jc w:val="both"/>
      </w:pPr>
      <w:r>
        <w:rPr>
          <w:rFonts w:ascii="Calibri" w:cs="Calibri" w:eastAsia="Calibri" w:hAnsi="Calibri"/>
          <w:i w:val="false"/>
          <w:iCs w:val="false"/>
          <w:sz w:val="22"/>
          <w:szCs w:val="22"/>
        </w:rPr>
        <w:t xml:space="preserve">Os impactos sociais esperados decorrem da primeira capacidade. A garantia de que um turno planejado é executável tende a favorecer a equidade de acesso, porque os grupos cujo acompanhamento é normativamente exigido (gestantes, crianças, pessoas idosas, pessoas com condições crônicas) são justamente os que dependem de procedimentos condicionados e, portanto, os primeiros a serem preteridos quando um recurso se esgota no meio do turno. Há também um risco ético a declarar: um sistema que decide a ordem e o conteúdo do atendimento pode deslocar julgamento clínico e territorial do profissional para uma função de custo. Por isso o sistema é concebido como apoio à decisão, sem selecionar pacientes nem substituir a avaliação da equipe.</w:t>
      </w:r>
    </w:p>
    <w:p>
      <w:pPr>
        <w:spacing w:after="160" w:line="276"/>
        <w:jc w:val="both"/>
      </w:pPr>
      <w:r>
        <w:rPr>
          <w:rFonts w:ascii="Calibri" w:cs="Calibri" w:eastAsia="Calibri" w:hAnsi="Calibri"/>
          <w:i w:val="false"/>
          <w:iCs w:val="false"/>
          <w:sz w:val="22"/>
          <w:szCs w:val="22"/>
        </w:rPr>
        <w:t xml:space="preserve">A pertinência do Planejamento Automatizado apoia-se em um argumento factual extraído da própria legislação. O art. 3º § 4º da Lei nº 11.350/2006 estabelece que, "desde que o Agente Comunitário de Saúde tenha concluído curso técnico e tenha disponíveis os equipamentos adequados, são atividades do Agente, em sua área geográfica de atuação, assistidas por profissional de saúde de nível superior, membro da equipe: I, a aferição da pressão arterial, durante a visita domiciliar, em caráter excepcional, encaminhando o paciente para a unidade de saúde de referência; II, a medição de glicemia capilar (...) encaminhando o paciente (...)". Em termos computacionais, a norma tem a forma de um esquema de ação declarativo: a ação só é permitida se um conjunto de condições vale, e executá-la obriga um efeito. Essa é a estrutura de uma ação no formalismo STRIPS (FIKES; NILSSON, 1971), com pré-condições, lista de adição e lista de remoção. Um domínio PDDL constitui, nesse caso, uma especificação declarativa e executável da norma.</w:t>
      </w:r>
    </w:p>
    <w:p>
      <w:pPr>
        <w:spacing w:after="160" w:line="276"/>
        <w:jc w:val="both"/>
      </w:pPr>
      <w:r>
        <w:rPr>
          <w:rFonts w:ascii="Calibri" w:cs="Calibri" w:eastAsia="Calibri" w:hAnsi="Calibri"/>
          <w:i w:val="false"/>
          <w:iCs w:val="false"/>
          <w:sz w:val="22"/>
          <w:szCs w:val="22"/>
        </w:rPr>
        <w:t xml:space="preserve">A Computação clássica é a ferramenta adequada porque o problema é combinatório. Com recursos finitos repostos apenas na Unidade Básica de Saúde e supervisão vinculada ao atendimento em curso, o número de sequências de ação candidatas cresce exponencialmente, e a interação entre decisões distantes na rota não é tratável por inspeção manual nem por planilha. A decomposição em duas camadas evita, por sua vez, o erro conhecido de submeter o problema de percurso ao planejador simbólico: a otimização espacial, que é geométrica e NP-difícil, permanece com heurísticas de grafos consagradas (CROES, 1958; ROSENKRANTZ; STEARNS; LEWIS, 1977), enquanto o planejador responde apenas pelo raciocínio sobre estados lógicos e recursos discretos.</w:t>
      </w:r>
    </w:p>
    <w:p>
      <w:pPr>
        <w:pStyle w:val="Heading1"/>
        <w:spacing w:after="180" w:before="360"/>
      </w:pPr>
      <w:r>
        <w:rPr>
          <w:rFonts w:ascii="Calibri" w:cs="Calibri" w:eastAsia="Calibri" w:hAnsi="Calibri"/>
          <w:b/>
          <w:bCs/>
          <w:color w:val="2E74B5"/>
          <w:sz w:val="28"/>
          <w:szCs w:val="28"/>
        </w:rPr>
        <w:t xml:space="preserve">4. Objetivos</w:t>
      </w:r>
    </w:p>
    <w:p>
      <w:pPr>
        <w:spacing w:after="160" w:line="276"/>
        <w:jc w:val="both"/>
      </w:pPr>
      <w:r>
        <w:rPr>
          <w:rFonts w:ascii="Calibri" w:cs="Calibri" w:eastAsia="Calibri" w:hAnsi="Calibri"/>
          <w:b/>
          <w:bCs/>
          <w:i w:val="false"/>
          <w:iCs w:val="false"/>
          <w:sz w:val="22"/>
          <w:szCs w:val="22"/>
        </w:rPr>
        <w:t xml:space="preserve">Objetivo geral.</w:t>
      </w:r>
      <w:r>
        <w:rPr>
          <w:rFonts w:ascii="Calibri" w:cs="Calibri" w:eastAsia="Calibri" w:hAnsi="Calibri"/>
          <w:i w:val="false"/>
          <w:iCs w:val="false"/>
          <w:sz w:val="22"/>
          <w:szCs w:val="22"/>
        </w:rPr>
        <w:t xml:space="preserve"> Modelar, implementar e validar um sistema de apoio ao planejamento de turnos de visitas domiciliares de Agentes Comunitários de Saúde, baseado em decomposição hierárquica e em Planejamento Automatizado (STRIPS/PDDL), capaz de determinar as ações de atendimento e os desvios de reabastecimento que garantam o cumprimento dos protocolos legais, e mensurar em que dimensões esse paradigma supera um executor procedural equivalente.</w:t>
      </w:r>
    </w:p>
    <w:p>
      <w:pPr>
        <w:spacing w:after="160" w:line="276"/>
        <w:jc w:val="both"/>
      </w:pPr>
      <w:r>
        <w:rPr>
          <w:rFonts w:ascii="Calibri" w:cs="Calibri" w:eastAsia="Calibri" w:hAnsi="Calibri"/>
          <w:b/>
          <w:bCs/>
          <w:i w:val="false"/>
          <w:iCs w:val="false"/>
          <w:sz w:val="22"/>
          <w:szCs w:val="22"/>
        </w:rPr>
        <w:t xml:space="preserve">Objetivos específicos.</w:t>
      </w:r>
    </w:p>
    <w:p>
      <w:pPr>
        <w:pStyle w:val="ListParagraph"/>
        <w:numPr>
          <w:ilvl w:val="0"/>
          <w:numId w:val="2"/>
        </w:numPr>
        <w:spacing w:after="120" w:line="276"/>
        <w:jc w:val="both"/>
      </w:pPr>
      <w:r>
        <w:rPr>
          <w:rFonts w:ascii="Calibri" w:cs="Calibri" w:eastAsia="Calibri" w:hAnsi="Calibri"/>
          <w:i w:val="false"/>
          <w:iCs w:val="false"/>
          <w:sz w:val="22"/>
          <w:szCs w:val="22"/>
        </w:rPr>
        <w:t xml:space="preserve">Mapear e formalizar em PDDL os §§ 3º e 4º do art. 3º da Lei nº 11.350/2006 (redação da Lei nº 13.595/2018) e as diretrizes da PNAB, traduzindo-os em esquemas de ações, pré-condições e efeitos.</w:t>
      </w:r>
    </w:p>
    <w:p>
      <w:pPr>
        <w:pStyle w:val="ListParagraph"/>
        <w:numPr>
          <w:ilvl w:val="0"/>
          <w:numId w:val="2"/>
        </w:numPr>
        <w:spacing w:after="120" w:line="276"/>
        <w:jc w:val="both"/>
      </w:pPr>
      <w:r>
        <w:rPr>
          <w:rFonts w:ascii="Calibri" w:cs="Calibri" w:eastAsia="Calibri" w:hAnsi="Calibri"/>
          <w:i w:val="false"/>
          <w:iCs w:val="false"/>
          <w:sz w:val="22"/>
          <w:szCs w:val="22"/>
        </w:rPr>
        <w:t xml:space="preserve">Construir a camada geométrica de roteamento, partindo de heurísticas construtivas com refinamento local e avaliando a substituição por metaheurísticas, como algoritmos genéticos ou busca em vizinhança ampla adaptativa, conforme a escala exigida.</w:t>
      </w:r>
    </w:p>
    <w:p>
      <w:pPr>
        <w:pStyle w:val="ListParagraph"/>
        <w:numPr>
          <w:ilvl w:val="0"/>
          <w:numId w:val="2"/>
        </w:numPr>
        <w:spacing w:after="120" w:line="276"/>
        <w:jc w:val="both"/>
      </w:pPr>
      <w:r>
        <w:rPr>
          <w:rFonts w:ascii="Calibri" w:cs="Calibri" w:eastAsia="Calibri" w:hAnsi="Calibri"/>
          <w:i w:val="false"/>
          <w:iCs w:val="false"/>
          <w:sz w:val="22"/>
          <w:szCs w:val="22"/>
        </w:rPr>
        <w:t xml:space="preserve">Implementar o módulo de tradução que converte os dados clínicos e a rota definida pela camada geométrica em arquivos de problema PDDL.</w:t>
      </w:r>
    </w:p>
    <w:p>
      <w:pPr>
        <w:pStyle w:val="ListParagraph"/>
        <w:numPr>
          <w:ilvl w:val="0"/>
          <w:numId w:val="2"/>
        </w:numPr>
        <w:spacing w:after="120" w:line="276"/>
        <w:jc w:val="both"/>
      </w:pPr>
      <w:r>
        <w:rPr>
          <w:rFonts w:ascii="Calibri" w:cs="Calibri" w:eastAsia="Calibri" w:hAnsi="Calibri"/>
          <w:i w:val="false"/>
          <w:iCs w:val="false"/>
          <w:sz w:val="22"/>
          <w:szCs w:val="22"/>
        </w:rPr>
        <w:t xml:space="preserve">Implementar o ambiente experimental, incluindo o planejador simbólico e um executor procedural que sirva de referência de comparação, ambos sob a mesma tabela de custos.</w:t>
      </w:r>
    </w:p>
    <w:p>
      <w:pPr>
        <w:pStyle w:val="ListParagraph"/>
        <w:numPr>
          <w:ilvl w:val="0"/>
          <w:numId w:val="2"/>
        </w:numPr>
        <w:spacing w:after="120" w:line="276"/>
        <w:jc w:val="both"/>
      </w:pPr>
      <w:r>
        <w:rPr>
          <w:rFonts w:ascii="Calibri" w:cs="Calibri" w:eastAsia="Calibri" w:hAnsi="Calibri"/>
          <w:i w:val="false"/>
          <w:iCs w:val="false"/>
          <w:sz w:val="22"/>
          <w:szCs w:val="22"/>
        </w:rPr>
        <w:t xml:space="preserve">Produzir uma saída operacional legível pelo agente de saúde, contendo o roteiro do turno passo a passo com apenas as informações essenciais ao atendimento.</w:t>
      </w:r>
    </w:p>
    <w:p>
      <w:pPr>
        <w:pStyle w:val="ListParagraph"/>
        <w:numPr>
          <w:ilvl w:val="0"/>
          <w:numId w:val="2"/>
        </w:numPr>
        <w:spacing w:after="120" w:line="276"/>
        <w:jc w:val="both"/>
      </w:pPr>
      <w:r>
        <w:rPr>
          <w:rFonts w:ascii="Calibri" w:cs="Calibri" w:eastAsia="Calibri" w:hAnsi="Calibri"/>
          <w:i w:val="false"/>
          <w:iCs w:val="false"/>
          <w:sz w:val="22"/>
          <w:szCs w:val="22"/>
        </w:rPr>
        <w:t xml:space="preserve">Validar empiricamente o sistema por meio de experimentos controlados de escalabilidade, de qualidade de plano e de reconhecimento de inviabilidade.</w:t>
      </w:r>
    </w:p>
    <w:p>
      <w:pPr>
        <w:pStyle w:val="ListParagraph"/>
        <w:numPr>
          <w:ilvl w:val="0"/>
          <w:numId w:val="2"/>
        </w:numPr>
        <w:spacing w:after="120" w:line="276"/>
        <w:jc w:val="both"/>
      </w:pPr>
      <w:r>
        <w:rPr>
          <w:rFonts w:ascii="Calibri" w:cs="Calibri" w:eastAsia="Calibri" w:hAnsi="Calibri"/>
          <w:i w:val="false"/>
          <w:iCs w:val="false"/>
          <w:sz w:val="22"/>
          <w:szCs w:val="22"/>
        </w:rPr>
        <w:t xml:space="preserve">Verificar a independência de implementação, submetendo os mesmos arquivos de domínio e problema a um planejador de referência da área.</w:t>
      </w:r>
    </w:p>
    <w:p>
      <w:pPr>
        <w:pStyle w:val="Heading1"/>
        <w:spacing w:after="180" w:before="360"/>
      </w:pPr>
      <w:r>
        <w:rPr>
          <w:rFonts w:ascii="Calibri" w:cs="Calibri" w:eastAsia="Calibri" w:hAnsi="Calibri"/>
          <w:b/>
          <w:bCs/>
          <w:color w:val="2E74B5"/>
          <w:sz w:val="28"/>
          <w:szCs w:val="28"/>
        </w:rPr>
        <w:t xml:space="preserve">5. Revisão de Literatura e Soluções de Mercado</w:t>
      </w:r>
    </w:p>
    <w:p>
      <w:pPr>
        <w:spacing w:after="160" w:line="276"/>
        <w:jc w:val="both"/>
      </w:pPr>
      <w:r>
        <w:rPr>
          <w:rFonts w:ascii="Calibri" w:cs="Calibri" w:eastAsia="Calibri" w:hAnsi="Calibri"/>
          <w:i w:val="false"/>
          <w:iCs w:val="false"/>
          <w:sz w:val="22"/>
          <w:szCs w:val="22"/>
        </w:rPr>
        <w:t xml:space="preserve">No campo da otimização espacial, o problema de origem é o </w:t>
      </w:r>
      <w:r>
        <w:rPr>
          <w:rFonts w:ascii="Calibri" w:cs="Calibri" w:eastAsia="Calibri" w:hAnsi="Calibri"/>
          <w:i/>
          <w:iCs/>
          <w:sz w:val="22"/>
          <w:szCs w:val="22"/>
        </w:rPr>
        <w:t xml:space="preserve">Home Health Care Routing and Scheduling Problem</w:t>
      </w:r>
      <w:r>
        <w:rPr>
          <w:rFonts w:ascii="Calibri" w:cs="Calibri" w:eastAsia="Calibri" w:hAnsi="Calibri"/>
          <w:i w:val="false"/>
          <w:iCs w:val="false"/>
          <w:sz w:val="22"/>
          <w:szCs w:val="22"/>
        </w:rPr>
        <w:t xml:space="preserve">, extensão do Problema de Roteamento de Veículos com restrições próprias do contexto de saúde domiciliar. Duas revisões o consolidam: FIKAR e HIRSCH (2017) sistematizam cenários, modelos e métodos; CISSÉ </w:t>
      </w:r>
      <w:r>
        <w:rPr>
          <w:rFonts w:ascii="Calibri" w:cs="Calibri" w:eastAsia="Calibri" w:hAnsi="Calibri"/>
          <w:i/>
          <w:iCs/>
          <w:sz w:val="22"/>
          <w:szCs w:val="22"/>
        </w:rPr>
        <w:t xml:space="preserve">et al.</w:t>
      </w:r>
      <w:r>
        <w:rPr>
          <w:rFonts w:ascii="Calibri" w:cs="Calibri" w:eastAsia="Calibri" w:hAnsi="Calibri"/>
          <w:i w:val="false"/>
          <w:iCs w:val="false"/>
          <w:sz w:val="22"/>
          <w:szCs w:val="22"/>
        </w:rPr>
        <w:t xml:space="preserve"> (2017) o caracterizam como extensão do VRP e identificam, entre as restrições laterais, a preferência do paciente e os requisitos de qualificação profissional. Especificamente para agentes comunitários, BRUNSKILL e LESH (2010) formulam a programação de visitas como problema de roteamento e otimizam cronogramas em contexto de saúde comunitária. Na camada geométrica, o refinamento 2-opt remonta a CROES (1958), e a análise das heurísticas construtivas a ROSENKRANTZ, STEARNS e LEWIS (1977).</w:t>
      </w:r>
    </w:p>
    <w:p>
      <w:pPr>
        <w:spacing w:after="160" w:line="276"/>
        <w:jc w:val="both"/>
      </w:pPr>
      <w:r>
        <w:rPr>
          <w:rFonts w:ascii="Calibri" w:cs="Calibri" w:eastAsia="Calibri" w:hAnsi="Calibri"/>
          <w:i w:val="false"/>
          <w:iCs w:val="false"/>
          <w:sz w:val="22"/>
          <w:szCs w:val="22"/>
        </w:rPr>
        <w:t xml:space="preserve">No Planejamento Automatizado, o formalismo empregado origina-se em FIKES e NILSSON (1971). BONET e GEFFNER (2001) estabelecem o planejamento como busca heurística no espaço de estados e definem as heurísticas derivadas da relaxação por deleção, entre as quais a h_max, admissível, e a h_add, mais informativa porém sem garantia de otimalidade. HELMERT e DOMSHLAK (2009) comparam formalmente as famílias de heurísticas admissíveis e introduzem a LM-cut. Essa literatura sustenta uma correção a uma objeção frequente: o planejamento de custo ótimo é subárea consolidada, e a afirmação defensável não é que planejadores não otimizam custo, mas que não escalam como solucionadores de Pesquisa Operacional dedicados. HELMERT (2006) descreve o Fast Downward, planejador de referência da área.</w:t>
      </w:r>
    </w:p>
    <w:p>
      <w:pPr>
        <w:spacing w:after="160" w:line="276"/>
        <w:jc w:val="both"/>
      </w:pPr>
      <w:r>
        <w:rPr>
          <w:rFonts w:ascii="Calibri" w:cs="Calibri" w:eastAsia="Calibri" w:hAnsi="Calibri"/>
          <w:i w:val="false"/>
          <w:iCs w:val="false"/>
          <w:sz w:val="22"/>
          <w:szCs w:val="22"/>
        </w:rPr>
        <w:t xml:space="preserve">A tradução de normas de saúde para domínios de planejamento tem precedente. BRADBROOK </w:t>
      </w:r>
      <w:r>
        <w:rPr>
          <w:rFonts w:ascii="Calibri" w:cs="Calibri" w:eastAsia="Calibri" w:hAnsi="Calibri"/>
          <w:i/>
          <w:iCs/>
          <w:sz w:val="22"/>
          <w:szCs w:val="22"/>
        </w:rPr>
        <w:t xml:space="preserve">et al.</w:t>
      </w:r>
      <w:r>
        <w:rPr>
          <w:rFonts w:ascii="Calibri" w:cs="Calibri" w:eastAsia="Calibri" w:hAnsi="Calibri"/>
          <w:i w:val="false"/>
          <w:iCs w:val="false"/>
          <w:sz w:val="22"/>
          <w:szCs w:val="22"/>
        </w:rPr>
        <w:t xml:space="preserve"> (2005) propõem o uso de tecnologia de planejamento como componente de diretrizes clínicas computadorizadas, e GONZÁLEZ-FERRER </w:t>
      </w:r>
      <w:r>
        <w:rPr>
          <w:rFonts w:ascii="Calibri" w:cs="Calibri" w:eastAsia="Calibri" w:hAnsi="Calibri"/>
          <w:i/>
          <w:iCs/>
          <w:sz w:val="22"/>
          <w:szCs w:val="22"/>
        </w:rPr>
        <w:t xml:space="preserve">et al.</w:t>
      </w:r>
      <w:r>
        <w:rPr>
          <w:rFonts w:ascii="Calibri" w:cs="Calibri" w:eastAsia="Calibri" w:hAnsi="Calibri"/>
          <w:i w:val="false"/>
          <w:iCs w:val="false"/>
          <w:sz w:val="22"/>
          <w:szCs w:val="22"/>
        </w:rPr>
        <w:t xml:space="preserve"> (2013) traduzem diretrizes clínicas interpretáveis por computador em um domínio de planejamento hierárquico temporal, gerando planos de cuidado personalizados. Considerou-se ainda o emprego de Modelos de Linguagem de Grande Escala como geradores de plano, alternativa descartada com base em VALMEEKAM </w:t>
      </w:r>
      <w:r>
        <w:rPr>
          <w:rFonts w:ascii="Calibri" w:cs="Calibri" w:eastAsia="Calibri" w:hAnsi="Calibri"/>
          <w:i/>
          <w:iCs/>
          <w:sz w:val="22"/>
          <w:szCs w:val="22"/>
        </w:rPr>
        <w:t xml:space="preserve">et al.</w:t>
      </w:r>
      <w:r>
        <w:rPr>
          <w:rFonts w:ascii="Calibri" w:cs="Calibri" w:eastAsia="Calibri" w:hAnsi="Calibri"/>
          <w:i w:val="false"/>
          <w:iCs w:val="false"/>
          <w:sz w:val="22"/>
          <w:szCs w:val="22"/>
        </w:rPr>
        <w:t xml:space="preserve"> (2023), que reportam limitação acentuada na geração autônoma de planos executáveis.</w:t>
      </w:r>
    </w:p>
    <w:p>
      <w:pPr>
        <w:spacing w:after="160" w:line="276"/>
        <w:jc w:val="both"/>
      </w:pPr>
      <w:r>
        <w:rPr>
          <w:rFonts w:ascii="Calibri" w:cs="Calibri" w:eastAsia="Calibri" w:hAnsi="Calibri"/>
          <w:i w:val="false"/>
          <w:iCs w:val="false"/>
          <w:sz w:val="22"/>
          <w:szCs w:val="22"/>
        </w:rPr>
        <w:t xml:space="preserve">Quanto ao que a indústria absorveu, a roteirização é tecnologia madura: solucionadores como o Google OR-Tools e motores de código aberto como o OSRM resolvem o problema geométrico em escala. Nenhum deles raciocina sobre pré-condições normativas encadeadas, pois, para essas ferramentas, a compatibilidade entre profissional e paciente é parâmetro de entrada, não estado que evolui durante a execução. O planejamento simbólico, por sua vez, dispõe de ferramental maduro, mas com penetração aplicada restrita ao ambiente acadêmico. No SUS, o e-SUS APS inclui o aplicativo e-SUS Território, utilizado por agentes comunitários para cadastro territorial e registro de visitas; sua documentação oficial descreve funcionalidades de coleta e qualificação de informação, sem previsão de roteirização ou de verificação automática de conformidade normativa.</w:t>
      </w:r>
    </w:p>
    <w:p>
      <w:pPr>
        <w:spacing w:after="160" w:line="276"/>
        <w:jc w:val="both"/>
      </w:pPr>
      <w:r>
        <w:rPr>
          <w:rFonts w:ascii="Calibri" w:cs="Calibri" w:eastAsia="Calibri" w:hAnsi="Calibri"/>
          <w:i w:val="false"/>
          <w:iCs w:val="false"/>
          <w:sz w:val="22"/>
          <w:szCs w:val="22"/>
        </w:rPr>
        <w:t xml:space="preserve">Cruzando essas frentes, delimita-se a lacuna que o projeto ocupa. A literatura de roteamento em saúde domiciliar reconhece a qualificação profissional como restrição, mas a modela como rótulo estático de compatibilidade dentro de formulações de programação matemática; a literatura de planejamento aplicado à saúde trata diretrizes clínicas sem componente de roteamento; e as ferramentas de mercado otimizam a geometria ignorando a norma. Nas buscas realizadas, não foram localizados trabalhos que apliquem planejamento automatizado simbólico à conformidade normativa de visitas domiciliares sobre rota previamente fixada, tratando as condições legais como recursos consumíveis ao longo do turno. É nessa interseção que o projeto se posiciona.</w:t>
      </w:r>
    </w:p>
    <w:p>
      <w:pPr>
        <w:pStyle w:val="Heading1"/>
        <w:spacing w:after="180" w:before="360"/>
      </w:pPr>
      <w:r>
        <w:rPr>
          <w:rFonts w:ascii="Calibri" w:cs="Calibri" w:eastAsia="Calibri" w:hAnsi="Calibri"/>
          <w:b/>
          <w:bCs/>
          <w:color w:val="2E74B5"/>
          <w:sz w:val="28"/>
          <w:szCs w:val="28"/>
        </w:rPr>
        <w:t xml:space="preserve">6. Metodologia</w:t>
      </w:r>
    </w:p>
    <w:p>
      <w:pPr>
        <w:spacing w:after="160" w:line="276"/>
        <w:jc w:val="both"/>
      </w:pPr>
      <w:r>
        <w:rPr>
          <w:rFonts w:ascii="Calibri" w:cs="Calibri" w:eastAsia="Calibri" w:hAnsi="Calibri"/>
          <w:i w:val="false"/>
          <w:iCs w:val="false"/>
          <w:sz w:val="22"/>
          <w:szCs w:val="22"/>
        </w:rPr>
        <w:t xml:space="preserve">A pesquisa segue abordagem de Design Science com validação experimental: constrói-se um artefato e mede-se seu comportamento contra um grupo de comparação sob variáveis controladas.</w:t>
      </w:r>
    </w:p>
    <w:p>
      <w:pPr>
        <w:spacing w:after="160" w:line="276"/>
        <w:jc w:val="both"/>
      </w:pPr>
      <w:r>
        <w:rPr>
          <w:rFonts w:ascii="Calibri" w:cs="Calibri" w:eastAsia="Calibri" w:hAnsi="Calibri"/>
          <w:i w:val="false"/>
          <w:iCs w:val="false"/>
          <w:sz w:val="22"/>
          <w:szCs w:val="22"/>
        </w:rPr>
        <w:t xml:space="preserve">Quanto à fonte de dados, o projeto usará dados sintéticos de pacientes, decisão metodológica e ética, uma vez que dados reais da Atenção Primária são sigilosos e seu uso exigiria aprovação em comitê de ética. Identificação, condições clínicas e datas de visita serão fictícias; as coordenadas geográficas serão reais, extraídas de uma região urbana de Porto Alegre, para conferir ordem de grandeza plausível à matriz de distâncias. As regras clínicas que determinam quais procedimentos cada perfil exige serão derivadas do texto legal. A carga ocorrerá a partir de arquivos estruturados, complementados por um gerador de instâncias parametrizado por número de pacientes e semente aleatória, cuja função é variar a estrutura combinatória do problema, e não estimar prevalência epidemiológica.</w:t>
      </w:r>
    </w:p>
    <w:p>
      <w:pPr>
        <w:spacing w:after="160" w:line="276"/>
        <w:jc w:val="both"/>
      </w:pPr>
      <w:r>
        <w:rPr>
          <w:rFonts w:ascii="Calibri" w:cs="Calibri" w:eastAsia="Calibri" w:hAnsi="Calibri"/>
          <w:i w:val="false"/>
          <w:iCs w:val="false"/>
          <w:sz w:val="22"/>
          <w:szCs w:val="22"/>
        </w:rPr>
        <w:t xml:space="preserve">A arquitetura central é a decomposição hierárquica em duas camadas desacopladas. A camada geométrica calcula a matriz de custos e determina a ordem das paradas; a camada lógica recebe essa ordem congelada e decide as ações em cada residência, incluindo quando sair da rota para reabastecer. O contrato entre elas é deliberadamente estreito: a camada geométrica entrega a sequência de paradas, a matriz de custos e o custo de desvio até a unidade a partir de cada ponto, e o planejador não pode alterar a ordem recebida. Essa separação permite substituir a camada geométrica, por exemplo por um serviço externo de roteamento com distâncias reais de malha viária, ou por uma metaheurística, sem alterar o domínio PDDL. Na camada lógica, prevê-se a construção de ao menos um domínio fiel ao texto legal vigente, e admite-se a construção de um segundo domínio, mais extenso, com protocolos sintéticos adicionais, para observar como o método se comporta quando a complexidade normativa cresce.</w:t>
      </w:r>
    </w:p>
    <w:p>
      <w:pPr>
        <w:spacing w:after="160" w:line="276"/>
        <w:jc w:val="both"/>
      </w:pPr>
      <w:r>
        <w:rPr>
          <w:rFonts w:ascii="Calibri" w:cs="Calibri" w:eastAsia="Calibri" w:hAnsi="Calibri"/>
          <w:i w:val="false"/>
          <w:iCs w:val="false"/>
          <w:sz w:val="22"/>
          <w:szCs w:val="22"/>
        </w:rPr>
        <w:t xml:space="preserve">Cabe registrar a fronteira entre norma e modelagem. O art. 3º § 4º exige assistência de profissional de nível superior, sem estipular sua forma, duração ou frequência. Representar essa assistência como recurso discreto e finito por turno, e encerrá-la quando o agente deixa a residência, são decisões de modelagem deste trabalho, não determinações legais, e permanecerão parametrizáveis.</w:t>
      </w:r>
    </w:p>
    <w:p>
      <w:pPr>
        <w:spacing w:after="160" w:line="276"/>
        <w:jc w:val="both"/>
      </w:pPr>
      <w:r>
        <w:rPr>
          <w:rFonts w:ascii="Calibri" w:cs="Calibri" w:eastAsia="Calibri" w:hAnsi="Calibri"/>
          <w:i w:val="false"/>
          <w:iCs w:val="false"/>
          <w:sz w:val="22"/>
          <w:szCs w:val="22"/>
        </w:rPr>
        <w:t xml:space="preserve">O ambiente de desenvolvimento será Python, preferencialmente sem dependências externas obrigatórias, de modo a garantir reprodutibilidade. O formalismo adotado é o PDDL, no fragmento STRIPS com custos de ação. Além do planejador desenvolvido no projeto, pretende-se utilizar o Fast Downward como planejador de referência para verificação. O versionamento será feito em Git, com o código e a documentação técnica públicos.</w:t>
      </w:r>
    </w:p>
    <w:p>
      <w:pPr>
        <w:spacing w:after="160" w:line="276"/>
        <w:jc w:val="both"/>
      </w:pPr>
      <w:r>
        <w:rPr>
          <w:rFonts w:ascii="Calibri" w:cs="Calibri" w:eastAsia="Calibri" w:hAnsi="Calibri"/>
          <w:i w:val="false"/>
          <w:iCs w:val="false"/>
          <w:sz w:val="22"/>
          <w:szCs w:val="22"/>
        </w:rPr>
        <w:t xml:space="preserve">O plano de validação combina demonstração prática, experimentação controlada, teste de casos extremos e verificação cruzada de implementação. O grupo de comparação será um executor procedural que percorre a mesma rota, cumpre os mesmos protocolos e reabastece quando fica sem insumo, lendo a tabela de custos do próprio arquivo de domínio, de modo a eliminar divergência de medição entre os grupos comparados. A variável isolada é a capacidade de antecipação: o executor procedural só detecta a falta de recurso no momento do uso. Serão variáveis independentes o número de pacientes, a semente da instância, a estratégia de busca, a capacidade de insumos, o número de acionamentos de supervisão disponíveis e a habilitação legal do agente; serão dependentes o custo do plano, o número de ações, o tempo de busca, os nós expandidos e o desfecho de sucesso ou insucesso.</w:t>
      </w:r>
    </w:p>
    <w:p>
      <w:pPr>
        <w:spacing w:after="160" w:line="276"/>
        <w:jc w:val="both"/>
      </w:pPr>
      <w:r>
        <w:rPr>
          <w:rFonts w:ascii="Calibri" w:cs="Calibri" w:eastAsia="Calibri" w:hAnsi="Calibri"/>
          <w:i w:val="false"/>
          <w:iCs w:val="false"/>
          <w:sz w:val="22"/>
          <w:szCs w:val="22"/>
        </w:rPr>
        <w:t xml:space="preserve">Três experimentos estão previstos. O primeiro medirá a escalabilidade, variando o número de pacientes e comparando estratégias de busca ótimas e satisfacientes, para identificar até que tamanho de microárea cada uma permanece viável. O segundo comparará o sistema proposto com o executor procedural em um conjunto de instâncias sorteadas, medindo custo dos planos e, principalmente, a frequência com que cada abordagem classifica incorretamente um turno como inexequível. O terceiro submeterá o sistema a instâncias construídas para não admitirem solução, de dois tipos distintos, uma em que falta uma condição legal e outra em que falta recurso, para verificar se a inviabilidade é reconhecida e a que custo computacional. Prevê-se ampliar o número de execuções conforme os resultados iniciais indiquem variância relevante.</w:t>
      </w:r>
    </w:p>
    <w:p>
      <w:pPr>
        <w:spacing w:after="160" w:line="276"/>
        <w:jc w:val="both"/>
      </w:pPr>
      <w:r>
        <w:rPr>
          <w:rFonts w:ascii="Calibri" w:cs="Calibri" w:eastAsia="Calibri" w:hAnsi="Calibri"/>
          <w:i w:val="false"/>
          <w:iCs w:val="false"/>
          <w:sz w:val="22"/>
          <w:szCs w:val="22"/>
        </w:rPr>
        <w:t xml:space="preserve">A verificação de independência de implementação é parte do plano e não uma etapa opcional: os mesmos arquivos de domínio e problema serão submetidos ao Fast Downward, e a comparação incidirá sobre a aceitação do domínio, a coincidência dos vereditos de viabilidade e a igualdade numérica do custo ótimo, esta última decisiva, pois duas implementações independentes que alegam otimalidade devem convergir no mesmo valor.</w:t>
      </w:r>
    </w:p>
    <w:p>
      <w:pPr>
        <w:spacing w:after="160" w:line="276"/>
        <w:jc w:val="both"/>
      </w:pPr>
      <w:r>
        <w:rPr>
          <w:rFonts w:ascii="Calibri" w:cs="Calibri" w:eastAsia="Calibri" w:hAnsi="Calibri"/>
          <w:i w:val="false"/>
          <w:iCs w:val="false"/>
          <w:sz w:val="22"/>
          <w:szCs w:val="22"/>
        </w:rPr>
        <w:t xml:space="preserve">Uma implementação exploratória preliminar já foi conduzida, em escala reduzida, com a finalidade única de verificar se a modelagem proposta é viável e se o fenômeno previsto pela hipótese chega a se manifestar. Os indícios obtidos foram favoráveis e motivaram a continuidade, mas não constituem resultado do projeto: são anteriores ao desenho experimental aqui descrito, e é esse desenho que produzirá as medições.</w:t>
      </w:r>
    </w:p>
    <w:p>
      <w:pPr>
        <w:spacing w:after="160" w:line="276"/>
        <w:jc w:val="both"/>
      </w:pPr>
      <w:r>
        <w:rPr>
          <w:rFonts w:ascii="Calibri" w:cs="Calibri" w:eastAsia="Calibri" w:hAnsi="Calibri"/>
          <w:i w:val="false"/>
          <w:iCs w:val="false"/>
          <w:sz w:val="22"/>
          <w:szCs w:val="22"/>
        </w:rPr>
        <w:t xml:space="preserve">Conforme o desenvolvimento avance, outras extensões poderão ser incorporadas. Estuda-se incluir uma política de seleção dos pacientes que comporão cada turno, a partir da prioridade clínica e do intervalo máximo entre visitas, hoje presentes nos dados, mas ainda não utilizados nessa decisão. Investiga-se também se o nível de urgência pode induzir restrições de precedência entre atendimentos, isto é, exigir que determinado paciente seja visitado antes de outro, hipótese particularmente adequada ao paradigma adotado, já que precedências são expressas nativamente como pré-condições.</w:t>
      </w:r>
    </w:p>
    <w:p>
      <w:pPr>
        <w:pStyle w:val="Heading1"/>
        <w:spacing w:after="180" w:before="360"/>
      </w:pPr>
      <w:r>
        <w:rPr>
          <w:rFonts w:ascii="Calibri" w:cs="Calibri" w:eastAsia="Calibri" w:hAnsi="Calibri"/>
          <w:b/>
          <w:bCs/>
          <w:color w:val="2E74B5"/>
          <w:sz w:val="28"/>
          <w:szCs w:val="28"/>
        </w:rPr>
        <w:t xml:space="preserve">7. Resultados Esperados</w:t>
      </w:r>
    </w:p>
    <w:p>
      <w:pPr>
        <w:spacing w:after="160" w:line="276"/>
        <w:jc w:val="both"/>
      </w:pPr>
      <w:r>
        <w:rPr>
          <w:rFonts w:ascii="Calibri" w:cs="Calibri" w:eastAsia="Calibri" w:hAnsi="Calibri"/>
          <w:i w:val="false"/>
          <w:iCs w:val="false"/>
          <w:sz w:val="22"/>
          <w:szCs w:val="22"/>
        </w:rPr>
        <w:t xml:space="preserve">O projeto situa-se entre os níveis 3 e 4 de maturidade tecnológica: um sistema funcional validado em laboratório, não um produto pronto para implantação em rede de saúde.</w:t>
      </w:r>
    </w:p>
    <w:p>
      <w:pPr>
        <w:spacing w:after="160" w:line="276"/>
        <w:jc w:val="both"/>
      </w:pPr>
      <w:r>
        <w:rPr>
          <w:rFonts w:ascii="Calibri" w:cs="Calibri" w:eastAsia="Calibri" w:hAnsi="Calibri"/>
          <w:i w:val="false"/>
          <w:iCs w:val="false"/>
          <w:sz w:val="22"/>
          <w:szCs w:val="22"/>
        </w:rPr>
        <w:t xml:space="preserve">Espera-se entregar, ao final, o sistema executável com as duas camadas integradas; o domínio PDDL correspondente à norma vigente, acompanhado do mapeamento entre cada ação modelada e o dispositivo legal que a fundamenta; a saída operacional legível pelo agente de saúde; o conjunto de experimentos reprodutíveis; e um relatório técnico consolidando as medições e discutindo os ganhos projetados para uma eventual aplicação em escala.</w:t>
      </w:r>
    </w:p>
    <w:p>
      <w:pPr>
        <w:spacing w:after="160" w:line="276"/>
        <w:jc w:val="both"/>
      </w:pPr>
      <w:r>
        <w:rPr>
          <w:rFonts w:ascii="Calibri" w:cs="Calibri" w:eastAsia="Calibri" w:hAnsi="Calibri"/>
          <w:i w:val="false"/>
          <w:iCs w:val="false"/>
          <w:sz w:val="22"/>
          <w:szCs w:val="22"/>
        </w:rPr>
        <w:t xml:space="preserve">Quanto ao comportamento do sistema, a expectativa é que o planejamento simbólico reconheça como executáveis turnos que o executor procedural classificaria como inviáveis, e que a diferença se concentre justamente nos cenários de escassez de recursos, que são os de maior interesse operacional. Espera-se também que a busca ótima permaneça computacionalmente viável na faixa de tamanho correspondente a um turno real de trabalho, e que a substituição de regras no domínio produza alteração de comportamento sem qualquer modificação no código de busca, evidenciando a declaratividade pretendida.</w:t>
      </w:r>
    </w:p>
    <w:p>
      <w:pPr>
        <w:spacing w:after="160" w:line="276"/>
        <w:jc w:val="both"/>
      </w:pPr>
      <w:r>
        <w:rPr>
          <w:rFonts w:ascii="Calibri" w:cs="Calibri" w:eastAsia="Calibri" w:hAnsi="Calibri"/>
          <w:i w:val="false"/>
          <w:iCs w:val="false"/>
          <w:sz w:val="22"/>
          <w:szCs w:val="22"/>
        </w:rPr>
        <w:t xml:space="preserve">É igualmente possível que os experimentos apontem em outra direção, e o projeto considera esse desfecho legítimo: pode-se verificar que a vantagem do planejamento se restringe a instâncias pouco frequentes, ou que o custo da busca ótima cresça além do aceitável. Nessa hipótese, o resultado do trabalho passa a ser a delimitação precisa das condições sob as quais o paradigma compensa, o que também responde à pergunta de pesquisa.</w:t>
      </w:r>
    </w:p>
    <w:p>
      <w:pPr>
        <w:spacing w:after="160" w:line="276"/>
        <w:jc w:val="both"/>
      </w:pPr>
      <w:r>
        <w:rPr>
          <w:rFonts w:ascii="Calibri" w:cs="Calibri" w:eastAsia="Calibri" w:hAnsi="Calibri"/>
          <w:i w:val="false"/>
          <w:iCs w:val="false"/>
          <w:sz w:val="22"/>
          <w:szCs w:val="22"/>
        </w:rPr>
        <w:t xml:space="preserve">As principais ameaças à validade já identificadas são o uso de um planejador desenvolvido pelo próprio grupo, mitigado pela verificação cruzada descrita na seção 6; a restrição a um único agente, que deixa o dimensionamento de equipe fora do escopo; a estimativa de custos de deslocamento sem medição em campo; e o caráter sintético das instâncias, que variam a estrutura combinatória do problema sem representar prevalência epidemiológica real.</w:t>
      </w:r>
    </w:p>
    <w:p>
      <w:pPr>
        <w:pStyle w:val="Heading1"/>
        <w:spacing w:after="180" w:before="360"/>
      </w:pPr>
      <w:r>
        <w:rPr>
          <w:rFonts w:ascii="Calibri" w:cs="Calibri" w:eastAsia="Calibri" w:hAnsi="Calibri"/>
          <w:b/>
          <w:bCs/>
          <w:color w:val="2E74B5"/>
          <w:sz w:val="28"/>
          <w:szCs w:val="28"/>
        </w:rPr>
        <w:t xml:space="preserve">8. Cronograma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DEEAF6" w:val="clear"/>
            <w:tcMar>
              <w:top w:type="dxa" w:w="80"/>
              <w:left w:type="dxa" w:w="120"/>
              <w:bottom w:type="dxa" w:w="80"/>
              <w:right w:type="dxa" w:w="120"/>
            </w:tcMar>
          </w:tcPr>
          <w:p>
            <w:pPr>
              <w:spacing w:after="0" w:line="260"/>
              <w:jc w:val="left"/>
            </w:pPr>
            <w:r>
              <w:rPr>
                <w:rFonts w:ascii="Calibri" w:cs="Calibri" w:eastAsia="Calibri" w:hAnsi="Calibri"/>
                <w:b/>
                <w:bCs/>
                <w:i w:val="false"/>
                <w:iCs w:val="false"/>
                <w:sz w:val="20"/>
                <w:szCs w:val="20"/>
              </w:rPr>
              <w:t xml:space="preserve">Período</w:t>
            </w:r>
          </w:p>
        </w:tc>
        <w:tc>
          <w:tcPr>
            <w:tcW w:type="dxa" w:w="6926"/>
            <w:shd w:fill="DEEAF6" w:val="clear"/>
            <w:tcMar>
              <w:top w:type="dxa" w:w="80"/>
              <w:left w:type="dxa" w:w="120"/>
              <w:bottom w:type="dxa" w:w="80"/>
              <w:right w:type="dxa" w:w="120"/>
            </w:tcMar>
          </w:tcPr>
          <w:p>
            <w:pPr>
              <w:spacing w:after="0" w:line="260"/>
              <w:jc w:val="left"/>
            </w:pPr>
            <w:r>
              <w:rPr>
                <w:rFonts w:ascii="Calibri" w:cs="Calibri" w:eastAsia="Calibri" w:hAnsi="Calibri"/>
                <w:b/>
                <w:bCs/>
                <w:i w:val="false"/>
                <w:iCs w:val="false"/>
                <w:sz w:val="20"/>
                <w:szCs w:val="20"/>
              </w:rPr>
              <w:t xml:space="preserve">Atividades</w:t>
            </w:r>
          </w:p>
        </w:tc>
      </w:tr>
      <w:tr>
        <w:tc>
          <w:tcPr>
            <w:tcW w:type="dxa" w:w="2100"/>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Até 25/09/2026</w:t>
            </w:r>
          </w:p>
        </w:tc>
        <w:tc>
          <w:tcPr>
            <w:tcW w:type="dxa" w:w="6926"/>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Delimitação do problema, revisão bibliográfica, concepção da proposta e implementação exploratória preliminar para verificação da viabilidade da ideia.</w:t>
            </w:r>
          </w:p>
        </w:tc>
      </w:tr>
      <w:tr>
        <w:tc>
          <w:tcPr>
            <w:tcW w:type="dxa" w:w="2100"/>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Até 02/10/2026</w:t>
            </w:r>
          </w:p>
        </w:tc>
        <w:tc>
          <w:tcPr>
            <w:tcW w:type="dxa" w:w="6926"/>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Ampliação das condições modeladas no domínio; execução de novo conjunto de testes; evolução do sistema rumo a uma versão funcional; avaliação de metaheurísticas na camada de roteamento; integração de serviço externo para cálculo de distâncias reais; construção da saída operacional legível pelo agente de saúde; estudo da política de seleção de pacientes do turno e do uso do nível de urgência como restrição de precedência; separação entre um domínio fiel à norma vigente e um domínio estendido com protocolos sintéticos.</w:t>
            </w:r>
          </w:p>
        </w:tc>
      </w:tr>
      <w:tr>
        <w:tc>
          <w:tcPr>
            <w:tcW w:type="dxa" w:w="2100"/>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Até 09/10/2026</w:t>
            </w:r>
          </w:p>
        </w:tc>
        <w:tc>
          <w:tcPr>
            <w:tcW w:type="dxa" w:w="6926"/>
            <w:tcMar>
              <w:top w:type="dxa" w:w="80"/>
              <w:left w:type="dxa" w:w="120"/>
              <w:bottom w:type="dxa" w:w="80"/>
              <w:right w:type="dxa" w:w="120"/>
            </w:tcMar>
          </w:tcPr>
          <w:p>
            <w:pPr>
              <w:spacing w:after="0" w:line="260"/>
              <w:jc w:val="left"/>
            </w:pPr>
            <w:r>
              <w:rPr>
                <w:rFonts w:ascii="Calibri" w:cs="Calibri" w:eastAsia="Calibri" w:hAnsi="Calibri"/>
                <w:b w:val="false"/>
                <w:bCs w:val="false"/>
                <w:i w:val="false"/>
                <w:iCs w:val="false"/>
                <w:sz w:val="20"/>
                <w:szCs w:val="20"/>
              </w:rPr>
              <w:t xml:space="preserve">Consolidação dos resultados, análise crítica, redação do relatório final e preparação da apresentação.</w:t>
            </w:r>
          </w:p>
        </w:tc>
      </w:tr>
    </w:tbl>
    <w:p>
      <w:pPr>
        <w:spacing w:after="120"/>
      </w:pPr>
    </w:p>
    <w:p>
      <w:pPr>
        <w:pStyle w:val="Heading1"/>
        <w:spacing w:after="180" w:before="360"/>
      </w:pPr>
      <w:r>
        <w:rPr>
          <w:rFonts w:ascii="Calibri" w:cs="Calibri" w:eastAsia="Calibri" w:hAnsi="Calibri"/>
          <w:b/>
          <w:bCs/>
          <w:color w:val="2E74B5"/>
          <w:sz w:val="28"/>
          <w:szCs w:val="28"/>
        </w:rPr>
        <w:t xml:space="preserve">9. Referências Bibliográficas</w:t>
      </w:r>
    </w:p>
    <w:p>
      <w:pPr>
        <w:spacing w:after="140" w:line="276"/>
        <w:ind w:left="720" w:hanging="720"/>
        <w:jc w:val="both"/>
      </w:pPr>
      <w:r>
        <w:rPr>
          <w:rFonts w:ascii="Calibri" w:cs="Calibri" w:eastAsia="Calibri" w:hAnsi="Calibri"/>
          <w:i w:val="false"/>
          <w:iCs w:val="false"/>
          <w:sz w:val="22"/>
          <w:szCs w:val="22"/>
        </w:rPr>
        <w:t xml:space="preserve">BONET, B.; GEFFNER, H. Planning as heuristic search. </w:t>
      </w:r>
      <w:r>
        <w:rPr>
          <w:rFonts w:ascii="Calibri" w:cs="Calibri" w:eastAsia="Calibri" w:hAnsi="Calibri"/>
          <w:b/>
          <w:bCs/>
          <w:i w:val="false"/>
          <w:iCs w:val="false"/>
          <w:sz w:val="22"/>
          <w:szCs w:val="22"/>
        </w:rPr>
        <w:t xml:space="preserve">Artificial Intelligence</w:t>
      </w:r>
      <w:r>
        <w:rPr>
          <w:rFonts w:ascii="Calibri" w:cs="Calibri" w:eastAsia="Calibri" w:hAnsi="Calibri"/>
          <w:i w:val="false"/>
          <w:iCs w:val="false"/>
          <w:sz w:val="22"/>
          <w:szCs w:val="22"/>
        </w:rPr>
        <w:t xml:space="preserve">, v. 129, n. 1-2, p. 5-33, 2001. DOI: 10.1016/S0004-3702(01)00108-4.</w:t>
      </w:r>
    </w:p>
    <w:p>
      <w:pPr>
        <w:spacing w:after="140" w:line="276"/>
        <w:ind w:left="720" w:hanging="720"/>
        <w:jc w:val="both"/>
      </w:pPr>
      <w:r>
        <w:rPr>
          <w:rFonts w:ascii="Calibri" w:cs="Calibri" w:eastAsia="Calibri" w:hAnsi="Calibri"/>
          <w:i w:val="false"/>
          <w:iCs w:val="false"/>
          <w:sz w:val="22"/>
          <w:szCs w:val="22"/>
        </w:rPr>
        <w:t xml:space="preserve">BRADBROOK, K.; WINSTANLEY, G.; GLASSPOOL, D.; FOX, J.; GRIFFITHS, R. AI Planning Technology as a Component of Computerised Clinical Practice Guidelines. In: </w:t>
      </w:r>
      <w:r>
        <w:rPr>
          <w:rFonts w:ascii="Calibri" w:cs="Calibri" w:eastAsia="Calibri" w:hAnsi="Calibri"/>
          <w:b/>
          <w:bCs/>
          <w:i w:val="false"/>
          <w:iCs w:val="false"/>
          <w:sz w:val="22"/>
          <w:szCs w:val="22"/>
        </w:rPr>
        <w:t xml:space="preserve">Artificial Intelligence in Medicine (AIME 2005)</w:t>
      </w:r>
      <w:r>
        <w:rPr>
          <w:rFonts w:ascii="Calibri" w:cs="Calibri" w:eastAsia="Calibri" w:hAnsi="Calibri"/>
          <w:i w:val="false"/>
          <w:iCs w:val="false"/>
          <w:sz w:val="22"/>
          <w:szCs w:val="22"/>
        </w:rPr>
        <w:t xml:space="preserve">. Lecture Notes in Computer Science, v. 3581. Berlin: Springer, 2005. DOI: 10.1007/11527770_26.</w:t>
      </w:r>
    </w:p>
    <w:p>
      <w:pPr>
        <w:spacing w:after="140" w:line="276"/>
        <w:ind w:left="720" w:hanging="720"/>
        <w:jc w:val="both"/>
      </w:pPr>
      <w:r>
        <w:rPr>
          <w:rFonts w:ascii="Calibri" w:cs="Calibri" w:eastAsia="Calibri" w:hAnsi="Calibri"/>
          <w:i w:val="false"/>
          <w:iCs w:val="false"/>
          <w:sz w:val="22"/>
          <w:szCs w:val="22"/>
        </w:rPr>
        <w:t xml:space="preserve">BRASIL. </w:t>
      </w:r>
      <w:r>
        <w:rPr>
          <w:rFonts w:ascii="Calibri" w:cs="Calibri" w:eastAsia="Calibri" w:hAnsi="Calibri"/>
          <w:b/>
          <w:bCs/>
          <w:i w:val="false"/>
          <w:iCs w:val="false"/>
          <w:sz w:val="22"/>
          <w:szCs w:val="22"/>
        </w:rPr>
        <w:t xml:space="preserve">Lei nº 11.350, de 5 de outubro de 2006.</w:t>
      </w:r>
      <w:r>
        <w:rPr>
          <w:rFonts w:ascii="Calibri" w:cs="Calibri" w:eastAsia="Calibri" w:hAnsi="Calibri"/>
          <w:i w:val="false"/>
          <w:iCs w:val="false"/>
          <w:sz w:val="22"/>
          <w:szCs w:val="22"/>
        </w:rPr>
        <w:t xml:space="preserve"> Brasília, 2006.</w:t>
      </w:r>
    </w:p>
    <w:p>
      <w:pPr>
        <w:spacing w:after="140" w:line="276"/>
        <w:ind w:left="720" w:hanging="720"/>
        <w:jc w:val="both"/>
      </w:pPr>
      <w:r>
        <w:rPr>
          <w:rFonts w:ascii="Calibri" w:cs="Calibri" w:eastAsia="Calibri" w:hAnsi="Calibri"/>
          <w:i w:val="false"/>
          <w:iCs w:val="false"/>
          <w:sz w:val="22"/>
          <w:szCs w:val="22"/>
        </w:rPr>
        <w:t xml:space="preserve">BRASIL. </w:t>
      </w:r>
      <w:r>
        <w:rPr>
          <w:rFonts w:ascii="Calibri" w:cs="Calibri" w:eastAsia="Calibri" w:hAnsi="Calibri"/>
          <w:b/>
          <w:bCs/>
          <w:i w:val="false"/>
          <w:iCs w:val="false"/>
          <w:sz w:val="22"/>
          <w:szCs w:val="22"/>
        </w:rPr>
        <w:t xml:space="preserve">Lei nº 13.595, de 5 de janeiro de 2018.</w:t>
      </w:r>
      <w:r>
        <w:rPr>
          <w:rFonts w:ascii="Calibri" w:cs="Calibri" w:eastAsia="Calibri" w:hAnsi="Calibri"/>
          <w:i w:val="false"/>
          <w:iCs w:val="false"/>
          <w:sz w:val="22"/>
          <w:szCs w:val="22"/>
        </w:rPr>
        <w:t xml:space="preserve"> Altera a Lei nº 11.350, de 5 de outubro de 2006, para dispor sobre a reformulação das atribuições, a jornada e as condições de trabalho dos Agentes Comunitários de Saúde e dos Agentes de Combate às Endemias. Brasília, 2018. Disponível em: https://www.planalto.gov.br/ccivil_03/_ato2015-2018/2018/lei/l13595.htm. Acesso em: 22 set. 2026.</w:t>
      </w:r>
    </w:p>
    <w:p>
      <w:pPr>
        <w:spacing w:after="140" w:line="276"/>
        <w:ind w:left="720" w:hanging="720"/>
        <w:jc w:val="both"/>
      </w:pPr>
      <w:r>
        <w:rPr>
          <w:rFonts w:ascii="Calibri" w:cs="Calibri" w:eastAsia="Calibri" w:hAnsi="Calibri"/>
          <w:i w:val="false"/>
          <w:iCs w:val="false"/>
          <w:sz w:val="22"/>
          <w:szCs w:val="22"/>
        </w:rPr>
        <w:t xml:space="preserve">BRASIL. Ministério da Saúde. </w:t>
      </w:r>
      <w:r>
        <w:rPr>
          <w:rFonts w:ascii="Calibri" w:cs="Calibri" w:eastAsia="Calibri" w:hAnsi="Calibri"/>
          <w:b/>
          <w:bCs/>
          <w:i w:val="false"/>
          <w:iCs w:val="false"/>
          <w:sz w:val="22"/>
          <w:szCs w:val="22"/>
        </w:rPr>
        <w:t xml:space="preserve">Portaria GM/MS nº 2.436, de 21 de setembro de 2017.</w:t>
      </w:r>
      <w:r>
        <w:rPr>
          <w:rFonts w:ascii="Calibri" w:cs="Calibri" w:eastAsia="Calibri" w:hAnsi="Calibri"/>
          <w:i w:val="false"/>
          <w:iCs w:val="false"/>
          <w:sz w:val="22"/>
          <w:szCs w:val="22"/>
        </w:rPr>
        <w:t xml:space="preserve"> Aprova a Política Nacional de Atenção Básica. Brasília: Diário Oficial da União, 2017. Disponível em: https://www.in.gov.br/materia/-/asset_publisher/Kujrw0TZC2Mb/content/id/19308123. Acesso em: 22 set. 2026.</w:t>
      </w:r>
    </w:p>
    <w:p>
      <w:pPr>
        <w:spacing w:after="140" w:line="276"/>
        <w:ind w:left="720" w:hanging="720"/>
        <w:jc w:val="both"/>
      </w:pPr>
      <w:r>
        <w:rPr>
          <w:rFonts w:ascii="Calibri" w:cs="Calibri" w:eastAsia="Calibri" w:hAnsi="Calibri"/>
          <w:i w:val="false"/>
          <w:iCs w:val="false"/>
          <w:sz w:val="22"/>
          <w:szCs w:val="22"/>
        </w:rPr>
        <w:t xml:space="preserve">BRASIL. Ministério da Saúde. </w:t>
      </w:r>
      <w:r>
        <w:rPr>
          <w:rFonts w:ascii="Calibri" w:cs="Calibri" w:eastAsia="Calibri" w:hAnsi="Calibri"/>
          <w:b/>
          <w:bCs/>
          <w:i w:val="false"/>
          <w:iCs w:val="false"/>
          <w:sz w:val="22"/>
          <w:szCs w:val="22"/>
        </w:rPr>
        <w:t xml:space="preserve">e-SUS Atenção Primária à Saúde: manual de utilização do aplicativo e-SUS APS Território.</w:t>
      </w:r>
      <w:r>
        <w:rPr>
          <w:rFonts w:ascii="Calibri" w:cs="Calibri" w:eastAsia="Calibri" w:hAnsi="Calibri"/>
          <w:i w:val="false"/>
          <w:iCs w:val="false"/>
          <w:sz w:val="22"/>
          <w:szCs w:val="22"/>
        </w:rPr>
        <w:t xml:space="preserve"> Brasília, [s.d.]. Disponível em: https://sisaps.saude.gov.br/esus/upload/docs/manual_utilizacao_aplicativo_esus_aps_territorio.pdf. Acesso em: 28 set. 2026.</w:t>
      </w:r>
    </w:p>
    <w:p>
      <w:pPr>
        <w:spacing w:after="140" w:line="276"/>
        <w:ind w:left="720" w:hanging="720"/>
        <w:jc w:val="both"/>
      </w:pPr>
      <w:r>
        <w:rPr>
          <w:rFonts w:ascii="Calibri" w:cs="Calibri" w:eastAsia="Calibri" w:hAnsi="Calibri"/>
          <w:i w:val="false"/>
          <w:iCs w:val="false"/>
          <w:sz w:val="22"/>
          <w:szCs w:val="22"/>
        </w:rPr>
        <w:t xml:space="preserve">BRUNSKILL, E.; LESH, N. Routing for Rural Health: Optimizing Community Health Worker Visit Schedules. In: </w:t>
      </w:r>
      <w:r>
        <w:rPr>
          <w:rFonts w:ascii="Calibri" w:cs="Calibri" w:eastAsia="Calibri" w:hAnsi="Calibri"/>
          <w:b/>
          <w:bCs/>
          <w:i w:val="false"/>
          <w:iCs w:val="false"/>
          <w:sz w:val="22"/>
          <w:szCs w:val="22"/>
        </w:rPr>
        <w:t xml:space="preserve">AAAI Spring Symposium on Artificial Intelligence for Development</w:t>
      </w:r>
      <w:r>
        <w:rPr>
          <w:rFonts w:ascii="Calibri" w:cs="Calibri" w:eastAsia="Calibri" w:hAnsi="Calibri"/>
          <w:i w:val="false"/>
          <w:iCs w:val="false"/>
          <w:sz w:val="22"/>
          <w:szCs w:val="22"/>
        </w:rPr>
        <w:t xml:space="preserve">, 2010.</w:t>
      </w:r>
    </w:p>
    <w:p>
      <w:pPr>
        <w:spacing w:after="140" w:line="276"/>
        <w:ind w:left="720" w:hanging="720"/>
        <w:jc w:val="both"/>
      </w:pPr>
      <w:r>
        <w:rPr>
          <w:rFonts w:ascii="Calibri" w:cs="Calibri" w:eastAsia="Calibri" w:hAnsi="Calibri"/>
          <w:i w:val="false"/>
          <w:iCs w:val="false"/>
          <w:sz w:val="22"/>
          <w:szCs w:val="22"/>
        </w:rPr>
        <w:t xml:space="preserve">CISSÉ, M.; YALÇINDAĞ, S.; KERGOSIEN, Y.; ŞAHIN, E.; LENTÉ, C.; MATTA, A. OR problems related to Home Health Care: A review of relevant routing and scheduling problems. </w:t>
      </w:r>
      <w:r>
        <w:rPr>
          <w:rFonts w:ascii="Calibri" w:cs="Calibri" w:eastAsia="Calibri" w:hAnsi="Calibri"/>
          <w:b/>
          <w:bCs/>
          <w:i w:val="false"/>
          <w:iCs w:val="false"/>
          <w:sz w:val="22"/>
          <w:szCs w:val="22"/>
        </w:rPr>
        <w:t xml:space="preserve">Operations Research for Health Care</w:t>
      </w:r>
      <w:r>
        <w:rPr>
          <w:rFonts w:ascii="Calibri" w:cs="Calibri" w:eastAsia="Calibri" w:hAnsi="Calibri"/>
          <w:i w:val="false"/>
          <w:iCs w:val="false"/>
          <w:sz w:val="22"/>
          <w:szCs w:val="22"/>
        </w:rPr>
        <w:t xml:space="preserve">, 2017. DOI: 10.1016/j.orhc.2017.06.001.</w:t>
      </w:r>
    </w:p>
    <w:p>
      <w:pPr>
        <w:spacing w:after="140" w:line="276"/>
        <w:ind w:left="720" w:hanging="720"/>
        <w:jc w:val="both"/>
      </w:pPr>
      <w:r>
        <w:rPr>
          <w:rFonts w:ascii="Calibri" w:cs="Calibri" w:eastAsia="Calibri" w:hAnsi="Calibri"/>
          <w:i w:val="false"/>
          <w:iCs w:val="false"/>
          <w:sz w:val="22"/>
          <w:szCs w:val="22"/>
        </w:rPr>
        <w:t xml:space="preserve">CROES, G. A. A Method for Solving Traveling-Salesman Problems. </w:t>
      </w:r>
      <w:r>
        <w:rPr>
          <w:rFonts w:ascii="Calibri" w:cs="Calibri" w:eastAsia="Calibri" w:hAnsi="Calibri"/>
          <w:b/>
          <w:bCs/>
          <w:i w:val="false"/>
          <w:iCs w:val="false"/>
          <w:sz w:val="22"/>
          <w:szCs w:val="22"/>
        </w:rPr>
        <w:t xml:space="preserve">Operations Research</w:t>
      </w:r>
      <w:r>
        <w:rPr>
          <w:rFonts w:ascii="Calibri" w:cs="Calibri" w:eastAsia="Calibri" w:hAnsi="Calibri"/>
          <w:i w:val="false"/>
          <w:iCs w:val="false"/>
          <w:sz w:val="22"/>
          <w:szCs w:val="22"/>
        </w:rPr>
        <w:t xml:space="preserve">, v. 6, n. 6, p. 791-812, 1958. DOI: 10.1287/opre.6.6.791.</w:t>
      </w:r>
    </w:p>
    <w:p>
      <w:pPr>
        <w:spacing w:after="140" w:line="276"/>
        <w:ind w:left="720" w:hanging="720"/>
        <w:jc w:val="both"/>
      </w:pPr>
      <w:r>
        <w:rPr>
          <w:rFonts w:ascii="Calibri" w:cs="Calibri" w:eastAsia="Calibri" w:hAnsi="Calibri"/>
          <w:i w:val="false"/>
          <w:iCs w:val="false"/>
          <w:sz w:val="22"/>
          <w:szCs w:val="22"/>
        </w:rPr>
        <w:t xml:space="preserve">FIKAR, C.; HIRSCH, P. Home health care routing and scheduling: A review. </w:t>
      </w:r>
      <w:r>
        <w:rPr>
          <w:rFonts w:ascii="Calibri" w:cs="Calibri" w:eastAsia="Calibri" w:hAnsi="Calibri"/>
          <w:b/>
          <w:bCs/>
          <w:i w:val="false"/>
          <w:iCs w:val="false"/>
          <w:sz w:val="22"/>
          <w:szCs w:val="22"/>
        </w:rPr>
        <w:t xml:space="preserve">Computers &amp; Operations Research</w:t>
      </w:r>
      <w:r>
        <w:rPr>
          <w:rFonts w:ascii="Calibri" w:cs="Calibri" w:eastAsia="Calibri" w:hAnsi="Calibri"/>
          <w:i w:val="false"/>
          <w:iCs w:val="false"/>
          <w:sz w:val="22"/>
          <w:szCs w:val="22"/>
        </w:rPr>
        <w:t xml:space="preserve">, v. 77, p. 86-95, 2017. DOI: 10.1016/j.cor.2016.07.019.</w:t>
      </w:r>
    </w:p>
    <w:p>
      <w:pPr>
        <w:spacing w:after="140" w:line="276"/>
        <w:ind w:left="720" w:hanging="720"/>
        <w:jc w:val="both"/>
      </w:pPr>
      <w:r>
        <w:rPr>
          <w:rFonts w:ascii="Calibri" w:cs="Calibri" w:eastAsia="Calibri" w:hAnsi="Calibri"/>
          <w:i w:val="false"/>
          <w:iCs w:val="false"/>
          <w:sz w:val="22"/>
          <w:szCs w:val="22"/>
        </w:rPr>
        <w:t xml:space="preserve">FIKES, R. E.; NILSSON, N. J. STRIPS: A new approach to the application of theorem proving to problem solving. </w:t>
      </w:r>
      <w:r>
        <w:rPr>
          <w:rFonts w:ascii="Calibri" w:cs="Calibri" w:eastAsia="Calibri" w:hAnsi="Calibri"/>
          <w:b/>
          <w:bCs/>
          <w:i w:val="false"/>
          <w:iCs w:val="false"/>
          <w:sz w:val="22"/>
          <w:szCs w:val="22"/>
        </w:rPr>
        <w:t xml:space="preserve">Artificial Intelligence</w:t>
      </w:r>
      <w:r>
        <w:rPr>
          <w:rFonts w:ascii="Calibri" w:cs="Calibri" w:eastAsia="Calibri" w:hAnsi="Calibri"/>
          <w:i w:val="false"/>
          <w:iCs w:val="false"/>
          <w:sz w:val="22"/>
          <w:szCs w:val="22"/>
        </w:rPr>
        <w:t xml:space="preserve">, v. 2, n. 3-4, p. 189-208, 1971. DOI: 10.1016/0004-3702(71)90010-5.</w:t>
      </w:r>
    </w:p>
    <w:p>
      <w:pPr>
        <w:spacing w:after="140" w:line="276"/>
        <w:ind w:left="720" w:hanging="720"/>
        <w:jc w:val="both"/>
      </w:pPr>
      <w:r>
        <w:rPr>
          <w:rFonts w:ascii="Calibri" w:cs="Calibri" w:eastAsia="Calibri" w:hAnsi="Calibri"/>
          <w:i w:val="false"/>
          <w:iCs w:val="false"/>
          <w:sz w:val="22"/>
          <w:szCs w:val="22"/>
        </w:rPr>
        <w:t xml:space="preserve">GONZÁLEZ-FERRER, A.; TEN TEIJE, A.; FDEZ-OLIVARES, J.; MILIAN, K. Automated generation of patient-tailored electronic care pathways by translating computer-interpretable guidelines into hierarchical task networks. </w:t>
      </w:r>
      <w:r>
        <w:rPr>
          <w:rFonts w:ascii="Calibri" w:cs="Calibri" w:eastAsia="Calibri" w:hAnsi="Calibri"/>
          <w:b/>
          <w:bCs/>
          <w:i w:val="false"/>
          <w:iCs w:val="false"/>
          <w:sz w:val="22"/>
          <w:szCs w:val="22"/>
        </w:rPr>
        <w:t xml:space="preserve">Artificial Intelligence in Medicine</w:t>
      </w:r>
      <w:r>
        <w:rPr>
          <w:rFonts w:ascii="Calibri" w:cs="Calibri" w:eastAsia="Calibri" w:hAnsi="Calibri"/>
          <w:i w:val="false"/>
          <w:iCs w:val="false"/>
          <w:sz w:val="22"/>
          <w:szCs w:val="22"/>
        </w:rPr>
        <w:t xml:space="preserve">, v. 57, n. 2, p. 91-109, 2013. DOI: 10.1016/j.artmed.2012.08.008.</w:t>
      </w:r>
    </w:p>
    <w:p>
      <w:pPr>
        <w:spacing w:after="140" w:line="276"/>
        <w:ind w:left="720" w:hanging="720"/>
        <w:jc w:val="both"/>
      </w:pPr>
      <w:r>
        <w:rPr>
          <w:rFonts w:ascii="Calibri" w:cs="Calibri" w:eastAsia="Calibri" w:hAnsi="Calibri"/>
          <w:i w:val="false"/>
          <w:iCs w:val="false"/>
          <w:sz w:val="22"/>
          <w:szCs w:val="22"/>
        </w:rPr>
        <w:t xml:space="preserve">HELMERT, M. The Fast Downward Planning System. </w:t>
      </w:r>
      <w:r>
        <w:rPr>
          <w:rFonts w:ascii="Calibri" w:cs="Calibri" w:eastAsia="Calibri" w:hAnsi="Calibri"/>
          <w:b/>
          <w:bCs/>
          <w:i w:val="false"/>
          <w:iCs w:val="false"/>
          <w:sz w:val="22"/>
          <w:szCs w:val="22"/>
        </w:rPr>
        <w:t xml:space="preserve">Journal of Artificial Intelligence Research</w:t>
      </w:r>
      <w:r>
        <w:rPr>
          <w:rFonts w:ascii="Calibri" w:cs="Calibri" w:eastAsia="Calibri" w:hAnsi="Calibri"/>
          <w:i w:val="false"/>
          <w:iCs w:val="false"/>
          <w:sz w:val="22"/>
          <w:szCs w:val="22"/>
        </w:rPr>
        <w:t xml:space="preserve">, v. 26, p. 191-246, 2006. DOI: 10.1613/jair.1705.</w:t>
      </w:r>
    </w:p>
    <w:p>
      <w:pPr>
        <w:spacing w:after="140" w:line="276"/>
        <w:ind w:left="720" w:hanging="720"/>
        <w:jc w:val="both"/>
      </w:pPr>
      <w:r>
        <w:rPr>
          <w:rFonts w:ascii="Calibri" w:cs="Calibri" w:eastAsia="Calibri" w:hAnsi="Calibri"/>
          <w:i w:val="false"/>
          <w:iCs w:val="false"/>
          <w:sz w:val="22"/>
          <w:szCs w:val="22"/>
        </w:rPr>
        <w:t xml:space="preserve">HELMERT, M.; DOMSHLAK, C. Landmarks, Critical Paths and Abstractions: What's the Difference Anyway? In: </w:t>
      </w:r>
      <w:r>
        <w:rPr>
          <w:rFonts w:ascii="Calibri" w:cs="Calibri" w:eastAsia="Calibri" w:hAnsi="Calibri"/>
          <w:b/>
          <w:bCs/>
          <w:i w:val="false"/>
          <w:iCs w:val="false"/>
          <w:sz w:val="22"/>
          <w:szCs w:val="22"/>
        </w:rPr>
        <w:t xml:space="preserve">Proceedings of the International Conference on Automated Planning and Scheduling (ICAPS)</w:t>
      </w:r>
      <w:r>
        <w:rPr>
          <w:rFonts w:ascii="Calibri" w:cs="Calibri" w:eastAsia="Calibri" w:hAnsi="Calibri"/>
          <w:i w:val="false"/>
          <w:iCs w:val="false"/>
          <w:sz w:val="22"/>
          <w:szCs w:val="22"/>
        </w:rPr>
        <w:t xml:space="preserve">, v. 19, n. 1, p. 162-169, 2009. DOI: 10.1609/icaps.v19i1.13370.</w:t>
      </w:r>
    </w:p>
    <w:p>
      <w:pPr>
        <w:spacing w:after="140" w:line="276"/>
        <w:ind w:left="720" w:hanging="720"/>
        <w:jc w:val="both"/>
      </w:pPr>
      <w:r>
        <w:rPr>
          <w:rFonts w:ascii="Calibri" w:cs="Calibri" w:eastAsia="Calibri" w:hAnsi="Calibri"/>
          <w:i w:val="false"/>
          <w:iCs w:val="false"/>
          <w:sz w:val="22"/>
          <w:szCs w:val="22"/>
        </w:rPr>
        <w:t xml:space="preserve">OCDE; EUROSTAT. </w:t>
      </w:r>
      <w:r>
        <w:rPr>
          <w:rFonts w:ascii="Calibri" w:cs="Calibri" w:eastAsia="Calibri" w:hAnsi="Calibri"/>
          <w:b/>
          <w:bCs/>
          <w:i w:val="false"/>
          <w:iCs w:val="false"/>
          <w:sz w:val="22"/>
          <w:szCs w:val="22"/>
        </w:rPr>
        <w:t xml:space="preserve">Manual de Oslo 2018: diretrizes para a coleta, o relato e o uso de dados sobre inovação.</w:t>
      </w:r>
      <w:r>
        <w:rPr>
          <w:rFonts w:ascii="Calibri" w:cs="Calibri" w:eastAsia="Calibri" w:hAnsi="Calibri"/>
          <w:i w:val="false"/>
          <w:iCs w:val="false"/>
          <w:sz w:val="22"/>
          <w:szCs w:val="22"/>
        </w:rPr>
        <w:t xml:space="preserve"> 4. ed. Paris: OECD Publishing, 2018. DOI: 10.1787/9789264304604-en.</w:t>
      </w:r>
    </w:p>
    <w:p>
      <w:pPr>
        <w:spacing w:after="140" w:line="276"/>
        <w:ind w:left="720" w:hanging="720"/>
        <w:jc w:val="both"/>
      </w:pPr>
      <w:r>
        <w:rPr>
          <w:rFonts w:ascii="Calibri" w:cs="Calibri" w:eastAsia="Calibri" w:hAnsi="Calibri"/>
          <w:i w:val="false"/>
          <w:iCs w:val="false"/>
          <w:sz w:val="22"/>
          <w:szCs w:val="22"/>
        </w:rPr>
        <w:t xml:space="preserve">ROSENKRANTZ, D. J.; STEARNS, R. E.; LEWIS, P. M. An Analysis of Several Heuristics for the Traveling Salesman Problem. </w:t>
      </w:r>
      <w:r>
        <w:rPr>
          <w:rFonts w:ascii="Calibri" w:cs="Calibri" w:eastAsia="Calibri" w:hAnsi="Calibri"/>
          <w:b/>
          <w:bCs/>
          <w:i w:val="false"/>
          <w:iCs w:val="false"/>
          <w:sz w:val="22"/>
          <w:szCs w:val="22"/>
        </w:rPr>
        <w:t xml:space="preserve">SIAM Journal on Computing</w:t>
      </w:r>
      <w:r>
        <w:rPr>
          <w:rFonts w:ascii="Calibri" w:cs="Calibri" w:eastAsia="Calibri" w:hAnsi="Calibri"/>
          <w:i w:val="false"/>
          <w:iCs w:val="false"/>
          <w:sz w:val="22"/>
          <w:szCs w:val="22"/>
        </w:rPr>
        <w:t xml:space="preserve">, v. 6, n. 3, p. 563-581, 1977. DOI: 10.1137/0206041.</w:t>
      </w:r>
    </w:p>
    <w:p>
      <w:pPr>
        <w:spacing w:after="140" w:line="276"/>
        <w:ind w:left="720" w:hanging="720"/>
        <w:jc w:val="both"/>
      </w:pPr>
      <w:r>
        <w:rPr>
          <w:rFonts w:ascii="Calibri" w:cs="Calibri" w:eastAsia="Calibri" w:hAnsi="Calibri"/>
          <w:i w:val="false"/>
          <w:iCs w:val="false"/>
          <w:sz w:val="22"/>
          <w:szCs w:val="22"/>
        </w:rPr>
        <w:t xml:space="preserve">VALMEEKAM, K.; MARQUEZ, M.; SREEDHARAN, S.; KAMBHAMPATI, S. On the Planning Abilities of Large Language Models: A Critical Investigation. In: </w:t>
      </w:r>
      <w:r>
        <w:rPr>
          <w:rFonts w:ascii="Calibri" w:cs="Calibri" w:eastAsia="Calibri" w:hAnsi="Calibri"/>
          <w:b/>
          <w:bCs/>
          <w:i w:val="false"/>
          <w:iCs w:val="false"/>
          <w:sz w:val="22"/>
          <w:szCs w:val="22"/>
        </w:rPr>
        <w:t xml:space="preserve">Advances in Neural Information Processing Systems (NeurIPS)</w:t>
      </w:r>
      <w:r>
        <w:rPr>
          <w:rFonts w:ascii="Calibri" w:cs="Calibri" w:eastAsia="Calibri" w:hAnsi="Calibri"/>
          <w:i w:val="false"/>
          <w:iCs w:val="false"/>
          <w:sz w:val="22"/>
          <w:szCs w:val="22"/>
        </w:rPr>
        <w:t xml:space="preserve">, v. 36, 2023. Disponível em: https://proceedings.neurips.cc/paper_files/paper/2023/hash/efb2072a358cefb75886a315a6fcf880-Abstract-Conference.html. Acesso em: 22 set. 2026.</w:t>
      </w:r>
    </w:p>
    <w:p>
      <w:pPr>
        <w:spacing w:after="140" w:line="276"/>
        <w:ind w:left="720" w:hanging="720"/>
        <w:jc w:val="both"/>
      </w:pPr>
      <w:r>
        <w:rPr>
          <w:rFonts w:ascii="Calibri" w:cs="Calibri" w:eastAsia="Calibri" w:hAnsi="Calibri"/>
          <w:i w:val="false"/>
          <w:iCs w:val="false"/>
          <w:sz w:val="22"/>
          <w:szCs w:val="22"/>
        </w:rPr>
        <w:t xml:space="preserve">GOOGLE. </w:t>
      </w:r>
      <w:r>
        <w:rPr>
          <w:rFonts w:ascii="Calibri" w:cs="Calibri" w:eastAsia="Calibri" w:hAnsi="Calibri"/>
          <w:b/>
          <w:bCs/>
          <w:i w:val="false"/>
          <w:iCs w:val="false"/>
          <w:sz w:val="22"/>
          <w:szCs w:val="22"/>
        </w:rPr>
        <w:t xml:space="preserve">OR-Tools: routing library.</w:t>
      </w:r>
      <w:r>
        <w:rPr>
          <w:rFonts w:ascii="Calibri" w:cs="Calibri" w:eastAsia="Calibri" w:hAnsi="Calibri"/>
          <w:i w:val="false"/>
          <w:iCs w:val="false"/>
          <w:sz w:val="22"/>
          <w:szCs w:val="22"/>
        </w:rPr>
        <w:t xml:space="preserve"> Disponível em: https://developers.google.com/optimization/routing. Acesso em: 28 set. 2026.</w:t>
      </w:r>
    </w:p>
    <w:p>
      <w:pPr>
        <w:spacing w:after="140" w:line="276"/>
        <w:ind w:left="720" w:hanging="720"/>
        <w:jc w:val="both"/>
      </w:pPr>
      <w:r>
        <w:rPr>
          <w:rFonts w:ascii="Calibri" w:cs="Calibri" w:eastAsia="Calibri" w:hAnsi="Calibri"/>
          <w:i w:val="false"/>
          <w:iCs w:val="false"/>
          <w:sz w:val="22"/>
          <w:szCs w:val="22"/>
        </w:rPr>
        <w:t xml:space="preserve">PROJECT OSRM. </w:t>
      </w:r>
      <w:r>
        <w:rPr>
          <w:rFonts w:ascii="Calibri" w:cs="Calibri" w:eastAsia="Calibri" w:hAnsi="Calibri"/>
          <w:b/>
          <w:bCs/>
          <w:i w:val="false"/>
          <w:iCs w:val="false"/>
          <w:sz w:val="22"/>
          <w:szCs w:val="22"/>
        </w:rPr>
        <w:t xml:space="preserve">Open Source Routing Machine.</w:t>
      </w:r>
      <w:r>
        <w:rPr>
          <w:rFonts w:ascii="Calibri" w:cs="Calibri" w:eastAsia="Calibri" w:hAnsi="Calibri"/>
          <w:i w:val="false"/>
          <w:iCs w:val="false"/>
          <w:sz w:val="22"/>
          <w:szCs w:val="22"/>
        </w:rPr>
        <w:t xml:space="preserve"> Disponível em: https://project-osrm.org. Acesso em: 28 set. 2026.</w:t>
      </w:r>
    </w:p>
    <w:p>
      <w:pPr>
        <w:spacing w:after="140" w:line="276"/>
        <w:ind w:left="720" w:hanging="720"/>
        <w:jc w:val="both"/>
      </w:pPr>
      <w:r>
        <w:rPr>
          <w:rFonts w:ascii="Calibri" w:cs="Calibri" w:eastAsia="Calibri" w:hAnsi="Calibri"/>
          <w:i w:val="false"/>
          <w:iCs w:val="false"/>
          <w:sz w:val="22"/>
          <w:szCs w:val="22"/>
        </w:rPr>
        <w:t xml:space="preserve">PYTHON SOFTWARE FOUNDATION. </w:t>
      </w:r>
      <w:r>
        <w:rPr>
          <w:rFonts w:ascii="Calibri" w:cs="Calibri" w:eastAsia="Calibri" w:hAnsi="Calibri"/>
          <w:b/>
          <w:bCs/>
          <w:i w:val="false"/>
          <w:iCs w:val="false"/>
          <w:sz w:val="22"/>
          <w:szCs w:val="22"/>
        </w:rPr>
        <w:t xml:space="preserve">Python Language Reference.</w:t>
      </w:r>
      <w:r>
        <w:rPr>
          <w:rFonts w:ascii="Calibri" w:cs="Calibri" w:eastAsia="Calibri" w:hAnsi="Calibri"/>
          <w:i w:val="false"/>
          <w:iCs w:val="false"/>
          <w:sz w:val="22"/>
          <w:szCs w:val="22"/>
        </w:rPr>
        <w:t xml:space="preserve"> Disponível em: https://docs.python.org/3/reference. Acesso em: 28 set.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Planejamento Automatizado aplicado ao cumprimento de protocolos legais em visitas domiciliares de Agentes Comunitários de Saúde</dc:title>
  <dc:creator>Grupo B - INF99003</dc:creator>
  <cp:lastModifiedBy>Un-named</cp:lastModifiedBy>
  <cp:revision>1</cp:revision>
  <dcterms:created xsi:type="dcterms:W3CDTF">2026-09-30T06:56:28.798Z</dcterms:created>
  <dcterms:modified xsi:type="dcterms:W3CDTF">2026-09-30T06:56:28.799Z</dcterms:modified>
</cp:coreProperties>
</file>

<file path=docProps/custom.xml><?xml version="1.0" encoding="utf-8"?>
<Properties xmlns="http://schemas.openxmlformats.org/officeDocument/2006/custom-properties" xmlns:vt="http://schemas.openxmlformats.org/officeDocument/2006/docPropsVTypes"/>
</file>