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40"/>
          <w:szCs w:val="40"/>
        </w:rPr>
        <w:t xml:space="preserve">Word Editor 改动说明与 LegalAI 接入适配指南</w:t>
      </w:r>
    </w:p>
    <w:p>
      <w:pPr>
        <w:spacing w:after="40"/>
      </w:pPr>
      <w:r>
        <w:rPr>
          <w:color w:val="666666"/>
          <w:sz w:val="22"/>
          <w:szCs w:val="22"/>
        </w:rPr>
        <w:t xml:space="preserve">覆盖范围：针对《word-editor 集成阶段性报告》中列出问题的 P0 - P3 全部改动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文档版本：2026-08-18　|　适用代码状态：本次改动全部已在本地验证通过</w:t>
      </w:r>
    </w:p>
    <w:p>
      <w:pPr>
        <w:pStyle w:val="Heading1"/>
        <w:spacing w:after="160" w:before="320"/>
      </w:pPr>
      <w:r>
        <w:t xml:space="preserve">0. 文档说明</w:t>
      </w:r>
    </w:p>
    <w:p>
      <w:pPr>
        <w:spacing w:after="120"/>
      </w:pPr>
      <w:r>
        <w:t xml:space="preserve">本文档汇总自阶段性报告提出问题以来，按 P0 → P3 优先级完成的全部改动，逐项说明改动内容、影响范围，以及 LegalAI 接入方是否需要、以及需要执行哪些适配动作。</w:t>
      </w:r>
    </w:p>
    <w:p>
      <w:pPr>
        <w:spacing w:after="120"/>
      </w:pPr>
      <w:r>
        <w:rPr>
          <w:b/>
          <w:bCs/>
        </w:rPr>
        <w:t xml:space="preserve">阅读方式：</w:t>
      </w:r>
      <w:r>
        <w:t xml:space="preserve">每个改动条目下均标注「接入方适配」小节。未标注适配动作或明确写「无需适配」的条目，均为内部修复 / 内部质量提升，对接入方完全透明，不影响现有集成代码。</w:t>
      </w:r>
    </w:p>
    <w:p>
      <w:pPr>
        <w:spacing w:after="120"/>
      </w:pPr>
      <w:r>
        <w:t xml:space="preserve">完整改动一览表见第 5 节；建议后续跟进事项见第 6 节。</w:t>
      </w:r>
    </w:p>
    <w:p>
      <w:pPr>
        <w:pStyle w:val="Heading1"/>
        <w:spacing w:after="160" w:before="320"/>
      </w:pPr>
      <w:r>
        <w:t xml:space="preserve">1. P0 — 商业化基础能力（服务端 / 部署层）</w:t>
      </w:r>
    </w:p>
    <w:p>
      <w:pPr>
        <w:spacing w:after="120"/>
      </w:pPr>
      <w:r>
        <w:t xml:space="preserve">P0 阶段的目标是把编辑器从「单机 demo」补齐为可被 LegalAI 后端直接调用、可按租户/合同隔离、可水平扩展的服务。三项改动均为新增能力，不影响任何既有接口的行为。</w:t>
      </w:r>
    </w:p>
    <w:p>
      <w:pPr>
        <w:pStyle w:val="Heading2"/>
        <w:spacing w:after="120" w:before="240"/>
      </w:pPr>
      <w:r>
        <w:t xml:space="preserve">1.1 服务端 DOCX / 旧版 .doc 导入解析</w:t>
      </w:r>
    </w:p>
    <w:p>
      <w:pPr>
        <w:spacing w:after="120"/>
      </w:pPr>
      <w:r>
        <w:t xml:space="preserve">新增接口：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/api/documents/import</w:t>
      </w:r>
    </w:p>
    <w:p>
      <w:pPr>
        <w:spacing w:after="120"/>
      </w:pPr>
      <w:r>
        <w:t xml:space="preserve">此前，打开一个 .docx 文件依赖前端「打开文件」流程（用户手动选择文件）。现在 LegalAI 后端可以直接把文件的 base64 内容 POST 到这个接口，服务端会：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在服务端完成 OOXML 解析（复用与浏览器端完全相同的解析逻辑，通过 jsdom 在 Node 中运行），生成 HTML 状态、页面设置、批注等，不再需要客户端预处理；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若检测到上传的是旧版二进制 .doc/.dot（OLE/CFB 格式），自动通过 LibreOffice 转换为 .docx 后再解析（详见 1.3 节的系统依赖变化，及第 3 节 P2 的 .doc 支持）；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解析失败时返回结构化错误（{error, hint}），而不是静默创建一个空文档。</w:t>
      </w:r>
    </w:p>
    <w:p>
      <w:pPr>
        <w:spacing w:after="120"/>
      </w:pPr>
      <w:r>
        <w:t xml:space="preserve">请求体：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 data: "&lt;base64&gt;", name: "合同.docx", tenantId?, contractId? }</w:t>
      </w:r>
    </w:p>
    <w:p>
      <w:pPr>
        <w:spacing w:after="120"/>
      </w:pPr>
      <w:r>
        <w:t xml:space="preserve">返回：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 id, title, hasDocx: true, rev }</w:t>
      </w:r>
    </w:p>
    <w:p>
      <w:pPr>
        <w:spacing w:after="120"/>
      </w:pPr>
      <w:r>
        <w:rPr>
          <w:b/>
          <w:bCs/>
          <w:color w:val="1F4E79"/>
        </w:rPr>
        <w:t xml:space="preserve">接入方适配：</w:t>
      </w:r>
      <w:r>
        <w:t xml:space="preserve">可选，但推荐。如果 LegalAI 目前的流程是「后端已经拿到合同 docx 文件 → 需要打开编辑器给用户看/编辑」，建议改为：后端先调用本接口把文件推送进编辑器（拿到 id），再用该 id 打开 iframe（</w:t>
      </w:r>
      <w:r>
        <w:rPr>
          <w:rFonts w:ascii="Consolas" w:cs="Consolas" w:eastAsia="Consolas" w:hAnsi="Consolas"/>
          <w:sz w:val="20"/>
          <w:szCs w:val="20"/>
        </w:rPr>
        <w:t xml:space="preserve">DocEditor.init({ docId: id })</w:t>
      </w:r>
      <w:r>
        <w:t xml:space="preserve">），可以省去让终端用户在编辑器里再手动「打开文件」一步。若目前是用户手动上传，则无需改动。</w:t>
      </w:r>
    </w:p>
    <w:p>
      <w:pPr>
        <w:pStyle w:val="Heading2"/>
        <w:spacing w:after="120" w:before="240"/>
      </w:pPr>
      <w:r>
        <w:t xml:space="preserve">1.2 按租户 / 合同作用域的短期鉴权令牌</w:t>
      </w:r>
    </w:p>
    <w:p>
      <w:pPr>
        <w:spacing w:after="120"/>
      </w:pPr>
      <w:r>
        <w:t xml:space="preserve">新增接口：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/api/auth/token</w:t>
      </w:r>
    </w:p>
    <w:p>
      <w:pPr>
        <w:spacing w:after="120"/>
      </w:pPr>
      <w:r>
        <w:t xml:space="preserve">此前的鉴权只有一种方式：全局静态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AUTH_TOKEN</w:t>
      </w:r>
    </w:p>
    <w:p>
      <w:pPr>
        <w:spacing w:after="120"/>
      </w:pPr>
      <w:r>
        <w:t xml:space="preserve">——一旦泄露，等于泄露对所有租户全部文档的完整访问权限。现在新增了「按文档作用域、限时有效」的令牌机制，作为可选的更细粒度方案，与原有全局令牌完全共存、互不冲突（详见下方兼容性说明）。</w:t>
      </w:r>
    </w:p>
    <w:p>
      <w:pPr>
        <w:pStyle w:val="Heading3"/>
        <w:spacing w:after="100" w:before="180"/>
      </w:pPr>
      <w:r>
        <w:t xml:space="preserve">工作方式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LegalAI 后端持有全局 AUTH_TOKEN（服务器到服务器的机密，永远不下发给浏览器）；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每次要把编辑器展示给某个用户之前，后端先用全局 AUTH_TOKEN 调用 POST /api/auth/token，带上 tenantId、contractId、editorDocumentId，换取一个短期令牌；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短期令牌有效期 60 秒 ~ 3600 秒（默认 900 秒 / 15 分钟），只对绑定的那一份文档有效，无法访问其他文档；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该令牌下发给浏览器端，通过 SDK 新增的 authToken 选项传入：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DocEditor.init({ container, docId, authToken })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令牌通过 iframe URL 的 fragment（# 后面）而非 query string 传递，不会出现在服务器访问日志或 Referer 头中；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令牌快过期时，可在不重新加载 iframe 的情况下调用新增的 SDK 方法轮换：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ed.setAuthToken(newToken)</w:t>
      </w:r>
    </w:p>
    <w:p>
      <w:pPr>
        <w:pStyle w:val="Heading3"/>
        <w:spacing w:after="100" w:before="180"/>
      </w:pPr>
      <w:r>
        <w:t xml:space="preserve">与现有集成的兼容性</w:t>
      </w:r>
    </w:p>
    <w:p>
      <w:pPr>
        <w:spacing w:after="120"/>
      </w:pPr>
      <w:r>
        <w:rPr>
          <w:b/>
          <w:bCs/>
          <w:color w:val="C0392B"/>
        </w:rPr>
        <w:t xml:space="preserve">重要：</w:t>
      </w:r>
      <w:r>
        <w:t xml:space="preserve">如果 LegalAI 当前已经在用全局 AUTH_TOKEN（Authorization: Bearer &lt;token&gt; 或 ?token=），这套机制完全不受影响，无需任何改动即可继续工作 —— 作用域令牌是纯新增的可选能力，不是替换。</w:t>
      </w:r>
    </w:p>
    <w:p>
      <w:pPr>
        <w:spacing w:after="120"/>
      </w:pPr>
      <w:r>
        <w:rPr>
          <w:b/>
          <w:bCs/>
          <w:color w:val="1F4E79"/>
        </w:rPr>
        <w:t xml:space="preserve">接入方适配：</w:t>
      </w:r>
      <w:r>
        <w:t xml:space="preserve">可选。如果希望降低单点凭证泄露的影响面（推荐，尤其是多租户场景），需要：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① 部署时设置 TOKEN_SECRET 环境变量（不设置则默认复用 AUTH_TOKEN 本身作为签名密钥，能用但不推荐——签名密钥最好与请求凭证分开）；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② 后端在展示编辑器前先调用 /api/auth/token 换取短期令牌，再传给前端 SDK；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③ 前端不再直接持有或传递全局 AUTH_TOKEN。</w:t>
      </w:r>
    </w:p>
    <w:p>
      <w:pPr>
        <w:pStyle w:val="Heading2"/>
        <w:spacing w:after="120" w:before="240"/>
      </w:pPr>
      <w:r>
        <w:t xml:space="preserve">1.3 对象存储（S3 兼容）+ Redis 多实例协同</w:t>
      </w:r>
    </w:p>
    <w:p>
      <w:pPr>
        <w:spacing w:after="120"/>
      </w:pPr>
      <w:r>
        <w:t xml:space="preserve">新增：存储层抽象（本地磁盘 / S3 兼容对象存储可切换）与基于 Redis 的跨实例 WebSocket 广播，用于支持编辑器服务水平扩展为多副本部署（配合负载均衡）。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未设置 STORAGE_DRIVER=s3 / REDIS_URL 时，行为与之前完全一致（单机 + 本地磁盘）；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S3 存储驱动兼容任意 S3 协议的对象存储（AWS S3、阿里云 OSS、MinIO 自建等），已用 MinIO 实测验证；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用于让多个编辑器副本之间同步文档更新（在线用户列表不跨实例同步，属设计如此）；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docker-compose.yml 新增 multi-instance profile，提供了一套可参考的多副本部署示例（MinIO + Redis + 2 个编辑器副本）。</w:t>
      </w:r>
    </w:p>
    <w:p>
      <w:pPr>
        <w:spacing w:after="120"/>
      </w:pPr>
      <w:r>
        <w:rPr>
          <w:b/>
          <w:bCs/>
          <w:color w:val="1F4E79"/>
        </w:rPr>
        <w:t xml:space="preserve">接入方适配：</w:t>
      </w:r>
      <w:r>
        <w:t xml:space="preserve">仅当 LegalAI 需要把编辑器服务部署为多副本（例如挂在自己的 K8s / 负载均衡之后）时才需要处理 —— 此时需要额外部署一套 S3 兼容存储和 Redis，并设置对应环境变量（见 4 节环境变量总表）。若维持单实例部署，无需任何改动。</w:t>
      </w:r>
    </w:p>
    <w:p>
      <w:pPr>
        <w:pStyle w:val="Heading1"/>
        <w:spacing w:after="160" w:before="320"/>
      </w:pPr>
      <w:r>
        <w:t xml:space="preserve">2. P1 — 四项交互问题修复（无需接入方适配）</w:t>
      </w:r>
    </w:p>
    <w:p>
      <w:pPr>
        <w:spacing w:after="120"/>
      </w:pPr>
      <w:r>
        <w:t xml:space="preserve">以下四项均为编辑器内部行为修复，接口签名、SDK 方法、返回数据结构均未发生变化，对接入方完全透明。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查找/高亮：修复了每次按键都强制自动滚动、以及高亮命中项未真正建立可见文本选区的问题；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修订跟踪（Track changes）定位：修复了跟踪的插入内容在块级元素处定位错误、变更后未自动滚动到变更位置的问题；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撤销（Undo）：修复了通过 SDK 调用 insertText / insertHtml 时绕过修订跟踪历史记录、导致撤销无法完整还原的问题。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</w:rPr>
              <w:t xml:space="preserve">唯一需要关注的点：</w:t>
            </w:r>
          </w:p>
          <w:p>
            <w:pPr>
              <w:spacing w:after="0"/>
            </w:pPr>
            <w:r>
              <w:t xml:space="preserve">如果 LegalAI 此前因为「SDK 调用 insertText/insertHtml 后撤销不完整」这个已知问题，在自己的业务代码里做过规避（例如提示用户不要撤销、或自行维护额外的历史记录），现在可以安全移除该规避逻辑——问题已在服务端/客户端根本解决并逐一在浏览器中验证通过。</w:t>
            </w:r>
          </w:p>
        </w:tc>
      </w:tr>
    </w:tbl>
    <w:p>
      <w:pPr>
        <w:pStyle w:val="Heading1"/>
        <w:spacing w:after="160" w:before="320"/>
      </w:pPr>
      <w:r>
        <w:t xml:space="preserve">3. P2 — 功能补全</w:t>
      </w:r>
    </w:p>
    <w:p>
      <w:pPr>
        <w:pStyle w:val="Heading2"/>
        <w:spacing w:after="120" w:before="240"/>
      </w:pPr>
      <w:r>
        <w:t xml:space="preserve">3.1 页眉 / 页脚 / 页码：真正的 OOXML 往返</w:t>
      </w:r>
    </w:p>
    <w:p>
      <w:pPr>
        <w:spacing w:after="120"/>
      </w:pPr>
      <w:r>
        <w:t xml:space="preserve">此前页眉/页脚/页码只是编辑器内的可视化效果，导入/导出 .docx 时并不会读取或写入真实的 OOXML 页眉页脚部件（header1.xml / footer1.xml 等），意味着从 Word 打开或另存的文件里，页眉页脚信息在导入导出之间可能丢失或不准确。现在改为读写真实的 OOXML 部件，与 Word 互相打开时页眉、页脚文字、对齐方式、页码格式（阿拉伯数字/罗马数字/字母/“第 N 页”/“第 N 页共 M 页”）均可正确往返。</w:t>
      </w:r>
    </w:p>
    <w:p>
      <w:pPr>
        <w:spacing w:after="120"/>
      </w:pPr>
      <w:r>
        <w:rPr>
          <w:b/>
          <w:bCs/>
          <w:color w:val="1F4E79"/>
        </w:rPr>
        <w:t xml:space="preserve">接入方适配：</w:t>
      </w:r>
      <w:r>
        <w:t xml:space="preserve">通常无需改动。如果 LegalAI 自己的后端流水线曾经对导出的 .docx 做过二次处理，并且这段代码里对「页眉页脚数据不可靠/为空」有过特殊兼容处理，建议重新测试确认是否还需要保留。</w:t>
      </w:r>
    </w:p>
    <w:p>
      <w:pPr>
        <w:pStyle w:val="Heading2"/>
        <w:spacing w:after="120" w:before="240"/>
      </w:pPr>
      <w:r>
        <w:t xml:space="preserve">3.2 超大表格分页视觉修复</w:t>
      </w:r>
    </w:p>
    <w:p>
      <w:pPr>
        <w:spacing w:after="120"/>
      </w:pPr>
      <w:r>
        <w:t xml:space="preserve">修复了内容超出一页高度的表格在屏幕上的分页视觉表现（此前会出现错位）。纯前端视觉修复，不涉及任何数据结构或接口。</w:t>
      </w:r>
    </w:p>
    <w:p>
      <w:pPr>
        <w:spacing w:after="120"/>
      </w:pPr>
      <w:r>
        <w:rPr>
          <w:b/>
          <w:bCs/>
          <w:color w:val="888888"/>
        </w:rPr>
        <w:t xml:space="preserve">接入方适配：无需任何操作。</w:t>
      </w:r>
    </w:p>
    <w:p>
      <w:pPr>
        <w:pStyle w:val="Heading2"/>
        <w:spacing w:after="120" w:before="240"/>
      </w:pPr>
      <w:r>
        <w:t xml:space="preserve">3.3 旧版 .doc / .dot 原生打开支持</w:t>
      </w:r>
    </w:p>
    <w:p>
      <w:pPr>
        <w:spacing w:after="120"/>
      </w:pPr>
      <w:r>
        <w:t xml:space="preserve">此前对旧版二进制 .doc 文件只能给出「请另存为 .docx 后再打开」的提示。现在服务端可以直接原生打开 .doc/.dot 文件——上传后自动通过 LibreOffice 无头模式（headless）转换为 .docx，再走正常解析流程，用户无感知。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</w:rPr>
              <w:t xml:space="preserve">务必确认（部署相关，可能需要接入方操作）：</w:t>
            </w:r>
          </w:p>
          <w:p>
            <w:pPr>
              <w:spacing w:after="0"/>
            </w:pPr>
            <w:r>
              <w:t xml:space="preserve">该功能依赖服务器上安装 LibreOffice（soffice 可执行文件）。若 LegalAI 直接使用本项目提供的 Dockerfile 部署，LibreOffice 已内置（基础镜像已切换为 node:22-bookworm-slim 并安装了 libreoffice-writer + 中文字体包），无需任何操作。但如果 LegalAI 是把编辑器代码合并进自己的镜像/构建流程、使用自己的 Dockerfile 或基础镜像，则必须自行安装 LibreOffice，或通过 SOFFICE_PATH 环境变量指向一个已安装的 soffice 可执行文件路径——否则 .doc 上传会收到 501「本服务器未安装 .doc 转换器」的明确报错（不会崩溃，但功能不可用）。</w:t>
            </w:r>
          </w:p>
        </w:tc>
      </w:tr>
    </w:tbl>
    <w:p>
      <w:pPr>
        <w:spacing w:after="120"/>
      </w:pPr>
      <w:r>
        <w:t xml:space="preserve">未安装 LibreOffice 时的实际影响范围：仅限旧版二进制 .doc/.dot 文件；.docx 文件的导入导出不受任何影响。</w:t>
      </w:r>
    </w:p>
    <w:p>
      <w:pPr>
        <w:pStyle w:val="Heading1"/>
        <w:spacing w:after="160" w:before="320"/>
      </w:pPr>
      <w:r>
        <w:t xml:space="preserve">4. P3 — 中英文双语界面</w:t>
      </w:r>
    </w:p>
    <w:p>
      <w:pPr>
        <w:spacing w:after="120"/>
      </w:pPr>
      <w:r>
        <w:t xml:space="preserve">编辑器全部界面文本（工具栏、菜单、全部对话框、查找面板、批注/审阅/历史面板、状态栏），以及围绕产品的静态页面（首页、嵌入演示页、API 文档页）已完成中英文双语覆盖。默认语言根据浏览器 navigator.language 自动判断，用户也可点击右上角「中文 / English」按钮手动切换，选择保存在浏览器 localStorage 中，切换后立即生效。</w:t>
      </w:r>
    </w:p>
    <w:p>
      <w:pPr>
        <w:spacing w:after="120"/>
      </w:pPr>
      <w:r>
        <w:t xml:space="preserve">同时顺带修正了中/日/韩文的字数统计逻辑：此前一整段无空格的中文会被算作「1 个词」，现在按 Word 的统计习惯，每个中/日/韩文字符单独计为 1 个词，与英文按空格分词的逻辑分别计算后相加。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</w:rPr>
              <w:t xml:space="preserve">已知限制 / 建议后续跟进：</w:t>
            </w:r>
          </w:p>
          <w:p>
            <w:pPr>
              <w:spacing w:after="0"/>
            </w:pPr>
            <w:r>
              <w:t xml:space="preserve">编辑器目前只能由终端用户在 iframe 内部手动点击按钮切换语言，SDK 尚不支持宿主页面（LegalAI 自己的应用）通过 init() 参数强制指定 iframe 内的初始语言。也就是说，如果 LegalAI 自己的界面已经是中文，无法保证嵌入的编辑器 iframe 首次加载时自动就是中文（取决于该用户浏览器语言，以及是否曾经手动切换过）。这是一个真实存在的小缺口，如果 LegalAI 需要「跟随宿主应用语言」的能力，建议作为下一个小需求单独提出——预计工作量很小（为 SDK init() 增加一个 lang 参数，透传进 iframe URL）。</w:t>
            </w:r>
          </w:p>
        </w:tc>
      </w:tr>
    </w:tbl>
    <w:p>
      <w:pPr>
        <w:spacing w:after="120"/>
      </w:pPr>
      <w:r>
        <w:rPr>
          <w:b/>
          <w:bCs/>
          <w:color w:val="1F4E79"/>
        </w:rPr>
        <w:t xml:space="preserve">接入方适配：</w:t>
      </w:r>
      <w:r>
        <w:t xml:space="preserve">无需强制处理。若接受「用户可自行在编辑器内切换语言」这一现状，无需任何改动。若需要「跟随宿主应用语言自动设定」，请单独提出需求。</w:t>
      </w:r>
    </w:p>
    <w:p>
      <w:pPr>
        <w:pStyle w:val="Heading1"/>
        <w:spacing w:after="160" w:before="320"/>
      </w:pPr>
      <w:r>
        <w:t xml:space="preserve">5. 改动一览与适配优先级汇总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800"/>
        <w:gridCol w:w="18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改动项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所属阶段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接入方是否需要处理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紧急程度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服务端 DOCX/.doc 导入接口（POST /api/documents/import）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可选（推荐）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中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按租户/合同作用域的短期鉴权令牌（POST /api/auth/token）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可选（推荐，安全加固）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中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对象存储 + Redis 多实例部署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仅多副本部署需要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低（按需）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查找/高亮、修订定位、撤销 4 项 Bug 修复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无需处理（可移除相关规避代码）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低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页眉/页脚/页码真实 OOXML 往返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通常无需处理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低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超大表格分页视觉修复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无需处理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.doc/.dot 原生打开（依赖 LibreOffice）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若自建镜像则必须安装 LibreOffice 或设置 SOFFICE_PATH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高（若自建镜像）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中英文双语界面 + 中日韩字数统计修正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无需处理（如需宿主页强制指定语言，请另提需求）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低</w:t>
            </w:r>
          </w:p>
        </w:tc>
      </w:tr>
    </w:tbl>
    <w:p>
      <w:pPr>
        <w:pStyle w:val="Heading1"/>
        <w:spacing w:after="160" w:before="320"/>
      </w:pPr>
      <w:r>
        <w:t xml:space="preserve">6. 新增 / 相关环境变量总表</w:t>
      </w:r>
    </w:p>
    <w:p>
      <w:pPr>
        <w:spacing w:after="120"/>
      </w:pPr>
      <w:r>
        <w:t xml:space="preserve">以下环境变量均为可选，未设置时行为与升级前一致（单实例、本地磁盘、无作用域鉴权）。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rPr>
          <w:tblHeader/>
        </w:trPr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环境变量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TOKEN_SECRET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= AUTH_TOKEN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作用域令牌的 HMAC 签名密钥，建议与 AUTH_TOKEN 分开设置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STORAGE_DRIVER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local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local 或 s3，切换为对象存储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S3_ENDPOINT / S3_BUCKET / S3_ACCESS_KEY / S3_SECRET_KEY / S3_REGION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STORAGE_DRIVER=s3 时必填，兼容任意 S3 协议对象存储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REDIS_URL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未设置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启用跨实例 WebSocket 广播（多副本部署时需要）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SOFFICE_PATH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soffice（从 PATH 查找）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LibreOffice 可执行文件路径，用于 .doc/.dot 转换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AUTH_TOKEN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未设置（不鉴权）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沿用已有的全局鉴权令牌，行为未变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PUBLIC_BASE_URL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未设置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对外可访问的域名，用于 webhook 里生成 docx 下载链接（文件过大无法内联时）</w:t>
            </w:r>
          </w:p>
        </w:tc>
      </w:tr>
    </w:tbl>
    <w:p>
      <w:pPr>
        <w:pStyle w:val="Heading1"/>
        <w:spacing w:after="160" w:before="320"/>
      </w:pPr>
      <w:r>
        <w:t xml:space="preserve">7. 建议后续跟进事项（非本次改动范围，供参考）</w:t>
      </w:r>
    </w:p>
    <w:p>
      <w:pPr>
        <w:spacing w:after="120"/>
      </w:pPr>
      <w:r>
        <w:t xml:space="preserve">以下事项本次未实现，是在完成 P0-P3 过程中观察到、值得后续单独排期的小需求，供 LegalAI 参考评估优先级：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SDK 支持 init({ lang }) 强制指定 iframe 初始语言，跟随宿主应用语言设置（见第 4 节）；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若采用作用域令牌方案，建议与 LegalAI 现有的用户/租户鉴权体系对齐一次字段含义（tenantId、contractId 的取值来源、是否与 LegalAI 侧的 ID 体系一致），本次实现的字段命名是编辑器侧的建议方案，非固定契约；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webhook（SAVE_WEBHOOK_URL）payload 的字段设计同样是编辑器侧的建议契约，建议与 LegalAI 后端实际消费方式对一遍。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6" w:space="4"/>
      </w:pBdr>
      <w:spacing w:after="160" w:before="320"/>
    </w:pPr>
    <w:rPr>
      <w:rFonts w:ascii="Microsoft YaHei" w:cs="Microsoft YaHei" w:eastAsia="Microsoft YaHei" w:hAnsi="Microsoft YaHe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Microsoft YaHei" w:cs="Microsoft YaHei" w:eastAsia="Microsoft YaHei" w:hAnsi="Microsoft YaHe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2026-08-18T22:25:45.141Z</dcterms:created>
  <dcterms:modified xsi:type="dcterms:W3CDTF">2026-08-18T22:25:45.146Z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