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76" w:lineRule="auto"/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86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780"/>
        <w:gridCol w:w="1350"/>
        <w:gridCol w:w="1320"/>
        <w:tblGridChange w:id="0">
          <w:tblGrid>
            <w:gridCol w:w="6780"/>
            <w:gridCol w:w="1350"/>
            <w:gridCol w:w="1320"/>
          </w:tblGrid>
        </w:tblGridChange>
      </w:tblGrid>
      <w:tr>
        <w:trPr>
          <w:trHeight w:val="7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c408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="276" w:lineRule="auto"/>
              <w:rPr>
                <w:rFonts w:ascii="Dosis" w:cs="Dosis" w:eastAsia="Dosis" w:hAnsi="Dosis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3f3f3"/>
                <w:sz w:val="28"/>
                <w:szCs w:val="28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c408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3f3f3"/>
                <w:sz w:val="26"/>
                <w:szCs w:val="26"/>
                <w:rtl w:val="0"/>
              </w:rPr>
              <w:t xml:space="preserve">2018 H1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c408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3f3f3"/>
                <w:sz w:val="26"/>
                <w:szCs w:val="26"/>
                <w:rtl w:val="0"/>
              </w:rPr>
              <w:t xml:space="preserve">2018 H2</w:t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Revisit exempection calculations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Survey applicable residential 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Discuss implementation with assessor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Gather information from other communities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Explore means tested exemption (Sudbury 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Public Hearing - Overview and Initial Input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Survey Lexington residents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Gather testimonials (economists, brokers, developers)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Examine empirical data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6aa84f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Revisit means tested exemption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Public Hearing - Findings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4b4b4b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b4b4b"/>
                <w:sz w:val="28"/>
                <w:szCs w:val="28"/>
                <w:rtl w:val="0"/>
              </w:rPr>
              <w:t xml:space="preserve">Selectmen - Final Report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b7b7b7"/>
                <w:sz w:val="32"/>
                <w:szCs w:val="3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before="0" w:line="276" w:lineRule="auto"/>
        <w:ind w:right="5655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ource Code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swal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-142874</wp:posOffset>
          </wp:positionH>
          <wp:positionV relativeFrom="paragraph">
            <wp:posOffset>-47624</wp:posOffset>
          </wp:positionV>
          <wp:extent cx="2454882" cy="1019175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4882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-1352549</wp:posOffset>
          </wp:positionH>
          <wp:positionV relativeFrom="paragraph">
            <wp:posOffset>971550</wp:posOffset>
          </wp:positionV>
          <wp:extent cx="11368088" cy="190500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68088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1" Type="http://schemas.openxmlformats.org/officeDocument/2006/relationships/font" Target="fonts/Oswald-regular.ttf"/><Relationship Id="rId10" Type="http://schemas.openxmlformats.org/officeDocument/2006/relationships/font" Target="fonts/SourceCodePro-boldItalic.ttf"/><Relationship Id="rId12" Type="http://schemas.openxmlformats.org/officeDocument/2006/relationships/font" Target="fonts/Oswald-bold.ttf"/><Relationship Id="rId9" Type="http://schemas.openxmlformats.org/officeDocument/2006/relationships/font" Target="fonts/SourceCodePro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SourceCodePro-regular.ttf"/><Relationship Id="rId8" Type="http://schemas.openxmlformats.org/officeDocument/2006/relationships/font" Target="fonts/SourceCode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