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glossary/document.xml" ContentType="application/vnd.openxmlformats-officedocument.wordprocessingml.document.glossary+xml"/>
  <Override PartName="/word/theme/theme1.xml" ContentType="application/vnd.openxmlformats-officedocument.theme+xml"/>
  <Override PartName="/word/glossary/endnotes.xml" ContentType="application/vnd.openxmlformats-officedocument.wordprocessingml.endnotes+xml"/>
  <Override PartName="/word/glossary/styles.xml" ContentType="application/vnd.openxmlformats-officedocument.wordprocessingml.styles+xml"/>
  <Override PartName="/word/glossary/fontTable.xml" ContentType="application/vnd.openxmlformats-officedocument.wordprocessingml.fontTable+xml"/>
  <Override PartName="/word/document.xml" ContentType="application/vnd.openxmlformats-officedocument.wordprocessingml.document.main+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F382805">
      <w:pPr>
        <w:pStyle w:val="966"/>
        <w:pBdr/>
        <w:spacing/>
        <w:ind/>
        <w:rPr>
          <w:rFonts w:ascii="Times New Roman" w:hAnsi="Times New Roman" w:cs="Times New Roman"/>
          <w:b/>
          <w:bCs/>
          <w:sz w:val="32"/>
          <w:szCs w:val="32"/>
        </w:rPr>
      </w:pPr>
      <w:r>
        <w:rPr>
          <w:rFonts w:ascii="Times New Roman" w:hAnsi="Times New Roman" w:cs="Times New Roman"/>
          <w:b/>
          <w:bCs/>
          <w:sz w:val="32"/>
          <w:szCs w:val="32"/>
          <w:highlight w:val="none"/>
        </w:rPr>
      </w:r>
      <w:r>
        <w:rPr>
          <w:rFonts w:ascii="Times New Roman" w:hAnsi="Times New Roman" w:cs="Times New Roman"/>
          <w:b/>
          <w:bCs/>
          <w:sz w:val="32"/>
          <w:szCs w:val="32"/>
        </w:rPr>
      </w:r>
      <w:r>
        <w:rPr>
          <w:rFonts w:ascii="Times New Roman" w:hAnsi="Times New Roman" w:cs="Times New Roman"/>
          <w:b/>
          <w:bCs/>
          <w:sz w:val="32"/>
          <w:szCs w:val="32"/>
        </w:rPr>
      </w:r>
    </w:p>
    <w:p w14:paraId="71CD0708">
      <w:pPr>
        <w:pStyle w:val="966"/>
        <w:pBdr/>
        <w:spacing/>
        <w:ind/>
        <w:rPr>
          <w:rFonts w:ascii="Times New Roman" w:hAnsi="Times New Roman" w:cs="Times New Roman"/>
          <w:b/>
          <w:bCs/>
          <w:sz w:val="32"/>
          <w:szCs w:val="32"/>
          <w:highlight w:val="none"/>
        </w:rPr>
      </w:pPr>
      <w:r>
        <w:rPr>
          <w:rFonts w:ascii="Times New Roman" w:hAnsi="Times New Roman" w:cs="Times New Roman"/>
          <w:b/>
          <w:bCs/>
          <w:sz w:val="32"/>
          <w:szCs w:val="32"/>
          <w:highlight w:val="none"/>
        </w:rPr>
      </w:r>
      <w:r>
        <w:rPr>
          <w:rFonts w:ascii="Times New Roman" w:hAnsi="Times New Roman" w:cs="Times New Roman"/>
          <w:b/>
          <w:bCs/>
          <w:sz w:val="32"/>
          <w:szCs w:val="32"/>
          <w:highlight w:val="none"/>
        </w:rPr>
      </w:r>
      <w:r>
        <w:rPr>
          <w:rFonts w:ascii="Times New Roman" w:hAnsi="Times New Roman" w:cs="Times New Roman"/>
          <w:b/>
          <w:bCs/>
          <w:sz w:val="32"/>
          <w:szCs w:val="32"/>
          <w:highlight w:val="none"/>
        </w:rPr>
      </w:r>
    </w:p>
    <w:p w14:paraId="7E748A81">
      <w:pPr>
        <w:pStyle w:val="966"/>
        <w:pBdr/>
        <w:spacing/>
        <w:ind/>
        <w:rPr>
          <w:rFonts w:ascii="Times New Roman" w:hAnsi="Times New Roman" w:cs="Times New Roman"/>
          <w:b/>
          <w:bCs/>
          <w:sz w:val="32"/>
          <w:szCs w:val="32"/>
          <w:highlight w:val="none"/>
        </w:rPr>
      </w:pPr>
      <w:r>
        <w:rPr>
          <w:rFonts w:ascii="Times New Roman" w:hAnsi="Times New Roman" w:cs="Times New Roman"/>
          <w:b/>
          <w:bCs/>
          <w:sz w:val="32"/>
          <w:szCs w:val="32"/>
          <w:highlight w:val="none"/>
        </w:rPr>
      </w:r>
      <w:r>
        <w:rPr>
          <w:rFonts w:ascii="Times New Roman" w:hAnsi="Times New Roman" w:cs="Times New Roman"/>
          <w:b/>
          <w:bCs/>
          <w:sz w:val="32"/>
          <w:szCs w:val="32"/>
          <w:highlight w:val="none"/>
        </w:rPr>
      </w:r>
      <w:r>
        <w:rPr>
          <w:rFonts w:ascii="Times New Roman" w:hAnsi="Times New Roman" w:cs="Times New Roman"/>
          <w:b/>
          <w:bCs/>
          <w:sz w:val="32"/>
          <w:szCs w:val="32"/>
          <w:highlight w:val="none"/>
        </w:rPr>
      </w:r>
    </w:p>
    <w:p w14:paraId="1D3CF225">
      <w:pPr>
        <w:pStyle w:val="966"/>
        <w:pBdr/>
        <w:spacing/>
        <w:ind/>
        <w:rPr>
          <w:rFonts w:ascii="Times New Roman" w:hAnsi="Times New Roman" w:cs="Times New Roman"/>
          <w:b/>
          <w:bCs/>
          <w:sz w:val="32"/>
          <w:szCs w:val="32"/>
          <w:highlight w:val="none"/>
        </w:rPr>
      </w:pPr>
      <w:r>
        <w:rPr>
          <w:rFonts w:ascii="Times New Roman" w:hAnsi="Times New Roman" w:cs="Times New Roman"/>
          <w:b/>
          <w:bCs/>
          <w:sz w:val="32"/>
          <w:szCs w:val="32"/>
          <w:highlight w:val="none"/>
        </w:rPr>
      </w:r>
      <w:r>
        <w:rPr>
          <w:rFonts w:ascii="Times New Roman" w:hAnsi="Times New Roman" w:cs="Times New Roman"/>
          <w:b/>
          <w:bCs/>
          <w:sz w:val="32"/>
          <w:szCs w:val="32"/>
          <w:highlight w:val="none"/>
        </w:rPr>
      </w:r>
      <w:r>
        <w:rPr>
          <w:rFonts w:ascii="Times New Roman" w:hAnsi="Times New Roman" w:cs="Times New Roman"/>
          <w:b/>
          <w:bCs/>
          <w:sz w:val="32"/>
          <w:szCs w:val="32"/>
          <w:highlight w:val="none"/>
        </w:rPr>
      </w:r>
    </w:p>
    <w:p w14:paraId="68405C16">
      <w:pPr>
        <w:pStyle w:val="966"/>
        <w:pBdr/>
        <w:spacing/>
        <w:ind/>
        <w:rPr>
          <w:rFonts w:ascii="Times New Roman" w:hAnsi="Times New Roman" w:cs="Times New Roman"/>
          <w:b/>
          <w:bCs/>
          <w:sz w:val="32"/>
          <w:szCs w:val="32"/>
          <w:highlight w:val="none"/>
        </w:rPr>
      </w:pPr>
      <w:r>
        <w:rPr>
          <w:rFonts w:ascii="Times New Roman" w:hAnsi="Times New Roman" w:cs="Times New Roman"/>
          <w:b/>
          <w:bCs/>
          <w:sz w:val="32"/>
          <w:szCs w:val="32"/>
          <w:highlight w:val="none"/>
        </w:rPr>
      </w:r>
      <w:r>
        <w:rPr>
          <w:rFonts w:ascii="Times New Roman" w:hAnsi="Times New Roman" w:cs="Times New Roman"/>
          <w:b/>
          <w:bCs/>
          <w:sz w:val="32"/>
          <w:szCs w:val="32"/>
          <w:highlight w:val="none"/>
        </w:rPr>
      </w:r>
      <w:r>
        <w:rPr>
          <w:rFonts w:ascii="Times New Roman" w:hAnsi="Times New Roman" w:cs="Times New Roman"/>
          <w:b/>
          <w:bCs/>
          <w:sz w:val="32"/>
          <w:szCs w:val="32"/>
          <w:highlight w:val="none"/>
        </w:rPr>
      </w:r>
    </w:p>
    <w:p w14:paraId="288C1FBB">
      <w:pPr>
        <w:pStyle w:val="966"/>
        <w:pBdr/>
        <w:spacing/>
        <w:ind/>
        <w:rPr>
          <w:rFonts w:ascii="Times New Roman" w:hAnsi="Times New Roman" w:cs="Times New Roman"/>
          <w:b/>
          <w:bCs/>
          <w:sz w:val="32"/>
          <w:szCs w:val="32"/>
          <w:highlight w:val="none"/>
        </w:rPr>
      </w:pPr>
      <w:r>
        <w:rPr>
          <w:rFonts w:ascii="Times New Roman" w:hAnsi="Times New Roman" w:cs="Times New Roman"/>
          <w:b/>
          <w:bCs/>
          <w:sz w:val="32"/>
          <w:szCs w:val="32"/>
          <w:highlight w:val="none"/>
        </w:rPr>
      </w:r>
      <w:r>
        <w:rPr>
          <w:rFonts w:ascii="Times New Roman" w:hAnsi="Times New Roman" w:cs="Times New Roman"/>
          <w:b/>
          <w:bCs/>
          <w:sz w:val="32"/>
          <w:szCs w:val="32"/>
          <w:highlight w:val="none"/>
        </w:rPr>
      </w:r>
      <w:r>
        <w:rPr>
          <w:rFonts w:ascii="Times New Roman" w:hAnsi="Times New Roman" w:cs="Times New Roman"/>
          <w:b/>
          <w:bCs/>
          <w:sz w:val="32"/>
          <w:szCs w:val="32"/>
          <w:highlight w:val="none"/>
        </w:rPr>
      </w:r>
    </w:p>
    <w:p w14:paraId="69134653">
      <w:pPr>
        <w:pStyle w:val="966"/>
        <w:pBdr/>
        <w:spacing/>
        <w:ind/>
        <w:rPr>
          <w:rFonts w:ascii="Times New Roman" w:hAnsi="Times New Roman" w:cs="Times New Roman"/>
          <w:b/>
          <w:bCs/>
          <w:sz w:val="32"/>
          <w:szCs w:val="32"/>
          <w:highlight w:val="none"/>
        </w:rPr>
      </w:pPr>
      <w:r>
        <w:rPr>
          <w:rFonts w:ascii="Times New Roman" w:hAnsi="Times New Roman" w:cs="Times New Roman"/>
          <w:b/>
          <w:bCs/>
          <w:sz w:val="32"/>
          <w:szCs w:val="32"/>
          <w:highlight w:val="none"/>
        </w:rPr>
      </w:r>
      <w:r>
        <w:rPr>
          <w:rFonts w:ascii="Times New Roman" w:hAnsi="Times New Roman" w:cs="Times New Roman"/>
          <w:b/>
          <w:bCs/>
          <w:sz w:val="32"/>
          <w:szCs w:val="32"/>
          <w:highlight w:val="none"/>
        </w:rPr>
      </w:r>
      <w:r>
        <w:rPr>
          <w:rFonts w:ascii="Times New Roman" w:hAnsi="Times New Roman" w:cs="Times New Roman"/>
          <w:b/>
          <w:bCs/>
          <w:sz w:val="32"/>
          <w:szCs w:val="32"/>
          <w:highlight w:val="none"/>
        </w:rPr>
      </w:r>
    </w:p>
    <w:p w14:paraId="414D0A75">
      <w:pPr>
        <w:pStyle w:val="966"/>
        <w:pBdr/>
        <w:spacing/>
        <w:ind/>
        <w:rPr>
          <w:rFonts w:ascii="Times New Roman" w:hAnsi="Times New Roman" w:cs="Times New Roman"/>
          <w:b/>
          <w:bCs/>
          <w:sz w:val="32"/>
          <w:szCs w:val="32"/>
          <w:highlight w:val="none"/>
        </w:rPr>
      </w:pPr>
      <w:r>
        <w:rPr>
          <w:rFonts w:ascii="Times New Roman" w:hAnsi="Times New Roman" w:cs="Times New Roman"/>
          <w:b/>
          <w:bCs/>
          <w:sz w:val="32"/>
          <w:szCs w:val="32"/>
        </w:rPr>
        <w:t xml:space="preserve">Analysis of Global Natural Resources: Consumption, Extraction, and Depletion Timeline</w:t>
      </w:r>
      <w:r>
        <w:rPr>
          <w:rFonts w:ascii="Times New Roman" w:hAnsi="Times New Roman" w:cs="Times New Roman"/>
          <w:b/>
          <w:bCs/>
          <w:sz w:val="32"/>
          <w:szCs w:val="32"/>
          <w:highlight w:val="none"/>
        </w:rPr>
      </w:r>
      <w:r>
        <w:rPr>
          <w:rFonts w:ascii="Times New Roman" w:hAnsi="Times New Roman" w:cs="Times New Roman"/>
          <w:b/>
          <w:bCs/>
          <w:sz w:val="32"/>
          <w:szCs w:val="32"/>
          <w:highlight w:val="none"/>
        </w:rPr>
      </w:r>
    </w:p>
    <w:p w14:paraId="771F93FE">
      <w:pPr>
        <w:pStyle w:val="968"/>
        <w:pBdr/>
        <w:spacing/>
        <w:ind/>
        <w:rPr>
          <w:sz w:val="24"/>
          <w:szCs w:val="24"/>
        </w:rPr>
      </w:pPr>
      <w:r>
        <w:rPr>
          <w:rFonts w:ascii="Times New Roman" w:hAnsi="Times New Roman" w:cs="Times New Roman"/>
          <w:b/>
          <w:bCs/>
          <w:sz w:val="24"/>
          <w:szCs w:val="24"/>
        </w:rPr>
        <w:t xml:space="preserve">Created by: Uladzislau Mikhayevich &lt;3xecvte@gmail.com&gt; JA2-HR-23</w:t>
      </w:r>
      <w:r>
        <w:rPr>
          <w:sz w:val="24"/>
          <w:szCs w:val="24"/>
        </w:rPr>
      </w:r>
      <w:r>
        <w:rPr>
          <w:sz w:val="24"/>
          <w:szCs w:val="24"/>
        </w:rPr>
      </w:r>
    </w:p>
    <w:p w14:paraId="3AC794B3">
      <w:pPr>
        <w:pBdr/>
        <w:shd w:val="nil" w:color="auto"/>
        <w:spacing/>
        <w:ind/>
        <w:rPr>
          <w:rFonts w:ascii="Times New Roman" w:hAnsi="Times New Roman" w:cs="Times New Roman"/>
          <w:b/>
          <w:bCs/>
          <w:sz w:val="32"/>
          <w:szCs w:val="32"/>
        </w:rPr>
      </w:pPr>
      <w:r>
        <w:rPr>
          <w:rFonts w:ascii="Times New Roman" w:hAnsi="Times New Roman" w:cs="Times New Roman"/>
          <w:b/>
          <w:bCs/>
          <w:sz w:val="32"/>
          <w:szCs w:val="32"/>
          <w:highlight w:val="none"/>
        </w:rPr>
      </w:r>
      <w:r>
        <w:rPr>
          <w:rFonts w:ascii="Times New Roman" w:hAnsi="Times New Roman" w:cs="Times New Roman"/>
          <w:b/>
          <w:bCs/>
          <w:sz w:val="32"/>
          <w:szCs w:val="32"/>
          <w:highlight w:val="none"/>
        </w:rPr>
      </w:r>
      <w:r>
        <w:rPr>
          <w:rFonts w:ascii="Times New Roman" w:hAnsi="Times New Roman" w:cs="Times New Roman"/>
          <w:b/>
          <w:bCs/>
          <w:sz w:val="32"/>
          <w:szCs w:val="32"/>
          <w:highlight w:val="none"/>
        </w:rPr>
        <w:br w:type="page" w:clear="all"/>
      </w:r>
      <w:r>
        <w:rPr>
          <w:rFonts w:ascii="Times New Roman" w:hAnsi="Times New Roman" w:cs="Times New Roman"/>
          <w:b/>
          <w:bCs/>
          <w:sz w:val="32"/>
          <w:szCs w:val="32"/>
        </w:rPr>
      </w:r>
      <w:r>
        <w:rPr>
          <w:rFonts w:ascii="Times New Roman" w:hAnsi="Times New Roman" w:cs="Times New Roman"/>
          <w:b/>
          <w:bCs/>
          <w:sz w:val="32"/>
          <w:szCs w:val="32"/>
        </w:rPr>
      </w:r>
    </w:p>
    <w:p w14:paraId="50869C67">
      <w:pPr>
        <w:pStyle w:val="947"/>
        <w:pBdr/>
        <w:spacing/>
        <w:ind/>
        <w:rPr>
          <w:rFonts w:ascii="Times New Roman" w:hAnsi="Times New Roman" w:cs="Times New Roman"/>
          <w:b/>
          <w:bCs/>
          <w:sz w:val="32"/>
          <w:szCs w:val="32"/>
          <w:highlight w:val="none"/>
        </w:rPr>
      </w:pPr>
      <w:r/>
      <w:bookmarkStart w:id="1" w:name="_Toc1"/>
      <w:r>
        <w:rPr>
          <w:rFonts w:ascii="Times New Roman" w:hAnsi="Times New Roman" w:cs="Times New Roman"/>
          <w:b/>
          <w:bCs/>
          <w:sz w:val="32"/>
          <w:szCs w:val="32"/>
        </w:rPr>
        <w:t xml:space="preserve">CONTENTS</w:t>
      </w:r>
      <w:r>
        <w:rPr>
          <w:rFonts w:ascii="Times New Roman" w:hAnsi="Times New Roman" w:cs="Times New Roman"/>
          <w:b/>
          <w:bCs/>
          <w:sz w:val="32"/>
          <w:szCs w:val="32"/>
          <w:highlight w:val="none"/>
        </w:rPr>
      </w:r>
      <w:bookmarkEnd w:id="1"/>
      <w:r/>
      <w:r>
        <w:rPr>
          <w:rFonts w:ascii="Times New Roman" w:hAnsi="Times New Roman" w:cs="Times New Roman"/>
          <w:b/>
          <w:bCs/>
          <w:sz w:val="32"/>
          <w:szCs w:val="32"/>
          <w:highlight w:val="none"/>
        </w:rPr>
      </w:r>
    </w:p>
    <w:sdt>
      <w:sdtPr>
        <w15:appearance w15:val="boundingBox"/>
        <w:placeholder>
          <w:docPart w:val="DefaultPlaceholder_TEXT"/>
        </w:placeholder>
        <w:docPartObj>
          <w:docPartGallery w:val="Table of Contents"/>
          <w:docPartUnique w:val="true"/>
        </w:docPartObj>
        <w:rPr>
          <w:highlight w:val="none"/>
        </w:rPr>
      </w:sdtPr>
      <w:sdtContent>
        <w:p w14:paraId="7D15082E">
          <w:pPr>
            <w:pStyle w:val="994"/>
            <w:pBdr/>
            <w:tabs>
              <w:tab w:val="right" w:leader="dot" w:pos="9360"/>
            </w:tabs>
            <w:spacing/>
            <w:ind/>
            <w:rPr>
              <w:rFonts w:ascii="Times New Roman" w:hAnsi="Times New Roman" w:cs="Times New Roman"/>
              <w:highlight w:val="none"/>
            </w:rPr>
          </w:pPr>
          <w:r>
            <w:rPr>
              <w:highlight w:val="none"/>
            </w:rPr>
          </w:r>
          <w:r>
            <w:fldChar w:fldCharType="begin"/>
            <w:instrText xml:space="preserve">TOC \o "1-3" \h </w:instrText>
          </w:r>
          <w:r>
            <w:fldChar w:fldCharType="separate"/>
          </w:r>
          <w:r>
            <w:rPr>
              <w:highlight w:val="none"/>
            </w:rPr>
          </w:r>
          <w:hyperlink w:tooltip="#_Toc1" w:anchor="_Toc1" w:history="1">
            <w:r>
              <w:rPr>
                <w:rStyle w:val="992"/>
              </w:rPr>
            </w:r>
            <w:r>
              <w:rPr>
                <w:rStyle w:val="992"/>
                <w:rFonts w:ascii="Times New Roman" w:hAnsi="Times New Roman" w:cs="Times New Roman"/>
              </w:rPr>
              <w:t xml:space="preserve">CONTENTS</w:t>
            </w:r>
            <w:r>
              <w:rPr>
                <w:rStyle w:val="992"/>
                <w:rFonts w:ascii="Times New Roman" w:hAnsi="Times New Roman" w:cs="Times New Roman"/>
                <w:highlight w:val="none"/>
              </w:rPr>
            </w:r>
            <w:r>
              <w:tab/>
            </w:r>
            <w:r>
              <w:fldChar w:fldCharType="begin"/>
              <w:instrText xml:space="preserve">PAGEREF _Toc1 \h</w:instrText>
              <w:fldChar w:fldCharType="separate"/>
              <w:t xml:space="preserve">2</w:t>
              <w:fldChar w:fldCharType="end"/>
            </w:r>
          </w:hyperlink>
          <w:r>
            <w:rPr>
              <w:rFonts w:ascii="Times New Roman" w:hAnsi="Times New Roman" w:cs="Times New Roman"/>
              <w:highlight w:val="none"/>
            </w:rPr>
          </w:r>
        </w:p>
        <w:p w14:paraId="79711F6B">
          <w:pPr>
            <w:pStyle w:val="994"/>
            <w:pBdr/>
            <w:tabs>
              <w:tab w:val="right" w:leader="dot" w:pos="9360"/>
            </w:tabs>
            <w:spacing/>
            <w:ind/>
            <w:rPr>
              <w:highlight w:val="none"/>
            </w:rPr>
          </w:pPr>
          <w:hyperlink w:tooltip="#_Toc2" w:anchor="_Toc2" w:history="1">
            <w:r>
              <w:rPr>
                <w:rStyle w:val="992"/>
              </w:rPr>
            </w:r>
            <w:r>
              <w:rPr>
                <w:rStyle w:val="992"/>
              </w:rPr>
              <w:t xml:space="preserve">PROJECT HIGHLIGHTS</w:t>
            </w:r>
            <w:r>
              <w:rPr>
                <w:rStyle w:val="992"/>
                <w:highlight w:val="none"/>
              </w:rPr>
            </w:r>
            <w:r>
              <w:tab/>
            </w:r>
            <w:r>
              <w:fldChar w:fldCharType="begin"/>
              <w:instrText xml:space="preserve">PAGEREF _Toc2 \h</w:instrText>
              <w:fldChar w:fldCharType="separate"/>
              <w:t xml:space="preserve">6</w:t>
              <w:fldChar w:fldCharType="end"/>
            </w:r>
          </w:hyperlink>
          <w:r>
            <w:rPr>
              <w:highlight w:val="none"/>
            </w:rPr>
          </w:r>
        </w:p>
        <w:p w14:paraId="0C30B310">
          <w:pPr>
            <w:pStyle w:val="995"/>
            <w:pBdr/>
            <w:tabs>
              <w:tab w:val="right" w:leader="dot" w:pos="9360"/>
            </w:tabs>
            <w:spacing/>
            <w:ind/>
            <w:rPr/>
          </w:pPr>
          <w:hyperlink w:tooltip="#_Toc3" w:anchor="_Toc3" w:history="1">
            <w:r>
              <w:rPr>
                <w:rStyle w:val="992"/>
              </w:rPr>
            </w:r>
            <w:r>
              <w:rPr>
                <w:rStyle w:val="992"/>
              </w:rPr>
              <w:t xml:space="preserve">Key stages of the project included:</w:t>
            </w:r>
            <w:r>
              <w:rPr>
                <w:rStyle w:val="992"/>
              </w:rPr>
            </w:r>
            <w:r>
              <w:tab/>
            </w:r>
            <w:r>
              <w:fldChar w:fldCharType="begin"/>
              <w:instrText xml:space="preserve">PAGEREF _Toc3 \h</w:instrText>
              <w:fldChar w:fldCharType="separate"/>
              <w:t xml:space="preserve">6</w:t>
              <w:fldChar w:fldCharType="end"/>
            </w:r>
          </w:hyperlink>
          <w:r/>
        </w:p>
        <w:p w14:paraId="60611C2A">
          <w:pPr>
            <w:pStyle w:val="995"/>
            <w:pBdr/>
            <w:tabs>
              <w:tab w:val="right" w:leader="dot" w:pos="9360"/>
            </w:tabs>
            <w:spacing/>
            <w:ind/>
            <w:rPr/>
          </w:pPr>
          <w:hyperlink w:tooltip="#_Toc4" w:anchor="_Toc4" w:history="1">
            <w:r>
              <w:rPr>
                <w:rStyle w:val="992"/>
              </w:rPr>
            </w:r>
            <w:r>
              <w:rPr>
                <w:rStyle w:val="992"/>
              </w:rPr>
              <w:t xml:space="preserve">Analytical tools and rationale:</w:t>
            </w:r>
            <w:r>
              <w:rPr>
                <w:rStyle w:val="992"/>
              </w:rPr>
            </w:r>
            <w:r>
              <w:tab/>
            </w:r>
            <w:r>
              <w:fldChar w:fldCharType="begin"/>
              <w:instrText xml:space="preserve">PAGEREF _Toc4 \h</w:instrText>
              <w:fldChar w:fldCharType="separate"/>
              <w:t xml:space="preserve">7</w:t>
              <w:fldChar w:fldCharType="end"/>
            </w:r>
          </w:hyperlink>
          <w:r/>
        </w:p>
        <w:p w14:paraId="2DD85C83">
          <w:pPr>
            <w:pStyle w:val="995"/>
            <w:pBdr/>
            <w:tabs>
              <w:tab w:val="right" w:leader="dot" w:pos="9360"/>
            </w:tabs>
            <w:spacing/>
            <w:ind/>
            <w:rPr/>
          </w:pPr>
          <w:hyperlink w:tooltip="#_Toc5" w:anchor="_Toc5" w:history="1">
            <w:r>
              <w:rPr>
                <w:rStyle w:val="992"/>
              </w:rPr>
            </w:r>
            <w:r>
              <w:rPr>
                <w:rStyle w:val="992"/>
              </w:rPr>
              <w:t xml:space="preserve">Outcome:</w:t>
            </w:r>
            <w:r>
              <w:rPr>
                <w:rStyle w:val="992"/>
              </w:rPr>
            </w:r>
            <w:r>
              <w:tab/>
            </w:r>
            <w:r>
              <w:fldChar w:fldCharType="begin"/>
              <w:instrText xml:space="preserve">PAGEREF _Toc5 \h</w:instrText>
              <w:fldChar w:fldCharType="separate"/>
              <w:t xml:space="preserve">7</w:t>
              <w:fldChar w:fldCharType="end"/>
            </w:r>
          </w:hyperlink>
          <w:r/>
        </w:p>
        <w:p w14:paraId="55EEF530">
          <w:pPr>
            <w:pStyle w:val="994"/>
            <w:pBdr/>
            <w:tabs>
              <w:tab w:val="right" w:leader="dot" w:pos="9360"/>
            </w:tabs>
            <w:spacing/>
            <w:ind/>
            <w:rPr>
              <w:rFonts w:ascii="Times New Roman" w:hAnsi="Times New Roman" w:cs="Times New Roman"/>
              <w:highlight w:val="none"/>
            </w:rPr>
          </w:pPr>
          <w:hyperlink w:tooltip="#_Toc6" w:anchor="_Toc6" w:history="1">
            <w:r>
              <w:rPr>
                <w:rStyle w:val="992"/>
              </w:rPr>
            </w:r>
            <w:r>
              <w:rPr>
                <w:rStyle w:val="992"/>
                <w:rFonts w:ascii="Times New Roman" w:hAnsi="Times New Roman" w:cs="Times New Roman"/>
              </w:rPr>
              <w:t xml:space="preserve">PROJECT AIM</w:t>
            </w:r>
            <w:r>
              <w:rPr>
                <w:rStyle w:val="992"/>
                <w:rFonts w:ascii="Times New Roman" w:hAnsi="Times New Roman" w:cs="Times New Roman"/>
                <w:highlight w:val="none"/>
              </w:rPr>
            </w:r>
            <w:r>
              <w:tab/>
            </w:r>
            <w:r>
              <w:fldChar w:fldCharType="begin"/>
              <w:instrText xml:space="preserve">PAGEREF _Toc6 \h</w:instrText>
              <w:fldChar w:fldCharType="separate"/>
              <w:t xml:space="preserve">9</w:t>
              <w:fldChar w:fldCharType="end"/>
            </w:r>
          </w:hyperlink>
          <w:r>
            <w:rPr>
              <w:rFonts w:ascii="Times New Roman" w:hAnsi="Times New Roman" w:cs="Times New Roman"/>
              <w:highlight w:val="none"/>
            </w:rPr>
          </w:r>
        </w:p>
        <w:p w14:paraId="37CABA9F">
          <w:pPr>
            <w:pStyle w:val="994"/>
            <w:pBdr/>
            <w:tabs>
              <w:tab w:val="right" w:leader="dot" w:pos="9360"/>
            </w:tabs>
            <w:spacing/>
            <w:ind/>
            <w:rPr>
              <w:highlight w:val="none"/>
            </w:rPr>
          </w:pPr>
          <w:hyperlink w:tooltip="#_Toc7" w:anchor="_Toc7" w:history="1">
            <w:r>
              <w:rPr>
                <w:rStyle w:val="992"/>
              </w:rPr>
            </w:r>
            <w:r>
              <w:rPr>
                <w:rStyle w:val="992"/>
              </w:rPr>
              <w:t xml:space="preserve">PROJECT MILESTONES</w:t>
            </w:r>
            <w:r>
              <w:rPr>
                <w:rStyle w:val="992"/>
                <w:highlight w:val="none"/>
              </w:rPr>
            </w:r>
            <w:r>
              <w:tab/>
            </w:r>
            <w:r>
              <w:fldChar w:fldCharType="begin"/>
              <w:instrText xml:space="preserve">PAGEREF _Toc7 \h</w:instrText>
              <w:fldChar w:fldCharType="separate"/>
              <w:t xml:space="preserve">10</w:t>
              <w:fldChar w:fldCharType="end"/>
            </w:r>
          </w:hyperlink>
          <w:r>
            <w:rPr>
              <w:highlight w:val="none"/>
            </w:rPr>
          </w:r>
        </w:p>
        <w:p w14:paraId="32F1F9A1">
          <w:pPr>
            <w:pStyle w:val="995"/>
            <w:pBdr/>
            <w:tabs>
              <w:tab w:val="right" w:leader="dot" w:pos="9360"/>
            </w:tabs>
            <w:spacing/>
            <w:ind/>
            <w:rPr>
              <w14:ligatures w14:val="none"/>
            </w:rPr>
          </w:pPr>
          <w:hyperlink w:tooltip="#_Toc8" w:anchor="_Toc8" w:history="1">
            <w:r>
              <w:rPr>
                <w:rStyle w:val="992"/>
              </w:rPr>
            </w:r>
            <w:r>
              <w:rPr>
                <w:rStyle w:val="992"/>
              </w:rPr>
              <w:t xml:space="preserve">DESCRIPTIVE STATISTICS AND EXPLORATORY DATA ANALYSIS</w:t>
            </w:r>
            <w:r>
              <w:rPr>
                <w:rStyle w:val="992"/>
                <w14:ligatures w14:val="none"/>
              </w:rPr>
            </w:r>
            <w:r>
              <w:tab/>
            </w:r>
            <w:r>
              <w:fldChar w:fldCharType="begin"/>
              <w:instrText xml:space="preserve">PAGEREF _Toc8 \h</w:instrText>
              <w:fldChar w:fldCharType="separate"/>
              <w:t xml:space="preserve">10</w:t>
              <w:fldChar w:fldCharType="end"/>
            </w:r>
          </w:hyperlink>
          <w:r>
            <w:rPr>
              <w14:ligatures w14:val="none"/>
            </w:rPr>
          </w:r>
        </w:p>
        <w:p w14:paraId="28DB7D5B">
          <w:pPr>
            <w:pStyle w:val="996"/>
            <w:pBdr/>
            <w:tabs>
              <w:tab w:val="right" w:leader="dot" w:pos="9360"/>
            </w:tabs>
            <w:spacing/>
            <w:ind/>
            <w:rPr>
              <w14:ligatures w14:val="none"/>
            </w:rPr>
          </w:pPr>
          <w:hyperlink w:tooltip="#_Toc9" w:anchor="_Toc9" w:history="1">
            <w:r>
              <w:rPr>
                <w:rStyle w:val="992"/>
              </w:rPr>
            </w:r>
            <w:r>
              <w:rPr>
                <w:rStyle w:val="992"/>
              </w:rPr>
              <w:t xml:space="preserve">Field Description</w:t>
            </w:r>
            <w:r>
              <w:rPr>
                <w:rStyle w:val="992"/>
                <w14:ligatures w14:val="none"/>
              </w:rPr>
            </w:r>
            <w:r>
              <w:tab/>
            </w:r>
            <w:r>
              <w:fldChar w:fldCharType="begin"/>
              <w:instrText xml:space="preserve">PAGEREF _Toc9 \h</w:instrText>
              <w:fldChar w:fldCharType="separate"/>
              <w:t xml:space="preserve">10</w:t>
              <w:fldChar w:fldCharType="end"/>
            </w:r>
          </w:hyperlink>
          <w:r>
            <w:rPr>
              <w14:ligatures w14:val="none"/>
            </w:rPr>
          </w:r>
        </w:p>
        <w:p w14:paraId="78FC6CC5">
          <w:pPr>
            <w:pStyle w:val="996"/>
            <w:pBdr/>
            <w:tabs>
              <w:tab w:val="right" w:leader="dot" w:pos="9360"/>
            </w:tabs>
            <w:spacing/>
            <w:ind/>
            <w:rPr/>
          </w:pPr>
          <w:hyperlink w:tooltip="#_Toc10" w:anchor="_Toc10" w:history="1">
            <w:r>
              <w:rPr>
                <w:rStyle w:val="992"/>
              </w:rPr>
            </w:r>
            <w:r>
              <w:rPr>
                <w:rStyle w:val="992"/>
              </w:rPr>
              <w:t xml:space="preserve">Basic Statistics</w:t>
            </w:r>
            <w:r>
              <w:rPr>
                <w:rStyle w:val="992"/>
              </w:rPr>
            </w:r>
            <w:r>
              <w:tab/>
            </w:r>
            <w:r>
              <w:fldChar w:fldCharType="begin"/>
              <w:instrText xml:space="preserve">PAGEREF _Toc10 \h</w:instrText>
              <w:fldChar w:fldCharType="separate"/>
              <w:t xml:space="preserve">10</w:t>
              <w:fldChar w:fldCharType="end"/>
            </w:r>
          </w:hyperlink>
          <w:r/>
        </w:p>
        <w:p w14:paraId="4649412C">
          <w:pPr>
            <w:pStyle w:val="996"/>
            <w:pBdr/>
            <w:tabs>
              <w:tab w:val="right" w:leader="dot" w:pos="9360"/>
            </w:tabs>
            <w:spacing/>
            <w:ind/>
            <w:rPr/>
          </w:pPr>
          <w:hyperlink w:tooltip="#_Toc11" w:anchor="_Toc11" w:history="1">
            <w:r>
              <w:rPr>
                <w:rStyle w:val="992"/>
              </w:rPr>
            </w:r>
            <w:r>
              <w:rPr>
                <w:rStyle w:val="992"/>
              </w:rPr>
              <w:t xml:space="preserve">Data Dimensionality</w:t>
            </w:r>
            <w:r>
              <w:rPr>
                <w:rStyle w:val="992"/>
              </w:rPr>
            </w:r>
            <w:r>
              <w:tab/>
            </w:r>
            <w:r>
              <w:fldChar w:fldCharType="begin"/>
              <w:instrText xml:space="preserve">PAGEREF _Toc11 \h</w:instrText>
              <w:fldChar w:fldCharType="separate"/>
              <w:t xml:space="preserve">11</w:t>
              <w:fldChar w:fldCharType="end"/>
            </w:r>
          </w:hyperlink>
          <w:r/>
        </w:p>
        <w:p w14:paraId="6DD3A7A6">
          <w:pPr>
            <w:pStyle w:val="996"/>
            <w:pBdr/>
            <w:tabs>
              <w:tab w:val="right" w:leader="dot" w:pos="9360"/>
            </w:tabs>
            <w:spacing/>
            <w:ind/>
            <w:rPr/>
          </w:pPr>
          <w:hyperlink w:tooltip="#_Toc12" w:anchor="_Toc12" w:history="1">
            <w:r>
              <w:rPr>
                <w:rStyle w:val="992"/>
              </w:rPr>
            </w:r>
            <w:r>
              <w:rPr>
                <w:rStyle w:val="992"/>
              </w:rPr>
              <w:t xml:space="preserve">Data Types</w:t>
            </w:r>
            <w:r>
              <w:rPr>
                <w:rStyle w:val="992"/>
              </w:rPr>
            </w:r>
            <w:r>
              <w:tab/>
            </w:r>
            <w:r>
              <w:fldChar w:fldCharType="begin"/>
              <w:instrText xml:space="preserve">PAGEREF _Toc12 \h</w:instrText>
              <w:fldChar w:fldCharType="separate"/>
              <w:t xml:space="preserve">11</w:t>
              <w:fldChar w:fldCharType="end"/>
            </w:r>
          </w:hyperlink>
          <w:r/>
        </w:p>
        <w:p w14:paraId="31BB3534">
          <w:pPr>
            <w:pStyle w:val="996"/>
            <w:pBdr/>
            <w:tabs>
              <w:tab w:val="right" w:leader="dot" w:pos="9360"/>
            </w:tabs>
            <w:spacing/>
            <w:ind/>
            <w:rPr/>
          </w:pPr>
          <w:hyperlink w:tooltip="#_Toc13" w:anchor="_Toc13" w:history="1">
            <w:r>
              <w:rPr>
                <w:rStyle w:val="992"/>
              </w:rPr>
            </w:r>
            <w:r>
              <w:rPr>
                <w:rStyle w:val="992"/>
              </w:rPr>
              <w:t xml:space="preserve">Counting Unique Values</w:t>
            </w:r>
            <w:r>
              <w:rPr>
                <w:rStyle w:val="992"/>
              </w:rPr>
            </w:r>
            <w:r>
              <w:tab/>
            </w:r>
            <w:r>
              <w:fldChar w:fldCharType="begin"/>
              <w:instrText xml:space="preserve">PAGEREF _Toc13 \h</w:instrText>
              <w:fldChar w:fldCharType="separate"/>
              <w:t xml:space="preserve">11</w:t>
              <w:fldChar w:fldCharType="end"/>
            </w:r>
          </w:hyperlink>
          <w:r/>
        </w:p>
        <w:p w14:paraId="2BC22BEF">
          <w:pPr>
            <w:pStyle w:val="996"/>
            <w:pBdr/>
            <w:tabs>
              <w:tab w:val="right" w:leader="dot" w:pos="9360"/>
            </w:tabs>
            <w:spacing/>
            <w:ind/>
            <w:rPr/>
          </w:pPr>
          <w:hyperlink w:tooltip="#_Toc14" w:anchor="_Toc14" w:history="1">
            <w:r>
              <w:rPr>
                <w:rStyle w:val="992"/>
              </w:rPr>
            </w:r>
            <w:r>
              <w:rPr>
                <w:rStyle w:val="992"/>
              </w:rPr>
              <w:t xml:space="preserve">Frequency Analysis of Categorical Features</w:t>
            </w:r>
            <w:r>
              <w:rPr>
                <w:rStyle w:val="992"/>
              </w:rPr>
            </w:r>
            <w:r>
              <w:tab/>
            </w:r>
            <w:r>
              <w:fldChar w:fldCharType="begin"/>
              <w:instrText xml:space="preserve">PAGEREF _Toc14 \h</w:instrText>
              <w:fldChar w:fldCharType="separate"/>
              <w:t xml:space="preserve">11</w:t>
              <w:fldChar w:fldCharType="end"/>
            </w:r>
          </w:hyperlink>
          <w:r/>
        </w:p>
        <w:p w14:paraId="791874C6">
          <w:pPr>
            <w:pStyle w:val="996"/>
            <w:pBdr/>
            <w:tabs>
              <w:tab w:val="right" w:leader="dot" w:pos="9360"/>
            </w:tabs>
            <w:spacing/>
            <w:ind/>
            <w:rPr/>
          </w:pPr>
          <w:hyperlink w:tooltip="#_Toc15" w:anchor="_Toc15" w:history="1">
            <w:r>
              <w:rPr>
                <w:rStyle w:val="992"/>
              </w:rPr>
            </w:r>
            <w:r>
              <w:rPr>
                <w:rStyle w:val="992"/>
              </w:rPr>
              <w:t xml:space="preserve">Data Filtering</w:t>
            </w:r>
            <w:r>
              <w:rPr>
                <w:rStyle w:val="992"/>
              </w:rPr>
            </w:r>
            <w:r>
              <w:tab/>
            </w:r>
            <w:r>
              <w:fldChar w:fldCharType="begin"/>
              <w:instrText xml:space="preserve">PAGEREF _Toc15 \h</w:instrText>
              <w:fldChar w:fldCharType="separate"/>
              <w:t xml:space="preserve">11</w:t>
              <w:fldChar w:fldCharType="end"/>
            </w:r>
          </w:hyperlink>
          <w:r/>
        </w:p>
        <w:p w14:paraId="6440FCC9">
          <w:pPr>
            <w:pStyle w:val="996"/>
            <w:pBdr/>
            <w:tabs>
              <w:tab w:val="right" w:leader="dot" w:pos="9360"/>
            </w:tabs>
            <w:spacing/>
            <w:ind/>
            <w:rPr/>
          </w:pPr>
          <w:hyperlink w:tooltip="#_Toc16" w:anchor="_Toc16" w:history="1">
            <w:r>
              <w:rPr>
                <w:rStyle w:val="992"/>
              </w:rPr>
            </w:r>
            <w:r>
              <w:rPr>
                <w:rStyle w:val="992"/>
              </w:rPr>
              <w:t xml:space="preserve">Visualization of Categorical Data</w:t>
            </w:r>
            <w:r>
              <w:rPr>
                <w:rStyle w:val="992"/>
              </w:rPr>
            </w:r>
            <w:r>
              <w:tab/>
            </w:r>
            <w:r>
              <w:fldChar w:fldCharType="begin"/>
              <w:instrText xml:space="preserve">PAGEREF _Toc16 \h</w:instrText>
              <w:fldChar w:fldCharType="separate"/>
              <w:t xml:space="preserve">12</w:t>
              <w:fldChar w:fldCharType="end"/>
            </w:r>
          </w:hyperlink>
          <w:r/>
        </w:p>
        <w:p w14:paraId="58D8AE95">
          <w:pPr>
            <w:pStyle w:val="996"/>
            <w:pBdr/>
            <w:tabs>
              <w:tab w:val="right" w:leader="dot" w:pos="9360"/>
            </w:tabs>
            <w:spacing/>
            <w:ind/>
            <w:rPr/>
          </w:pPr>
          <w:hyperlink w:tooltip="#_Toc17" w:anchor="_Toc17" w:history="1">
            <w:r>
              <w:rPr>
                <w:rStyle w:val="992"/>
              </w:rPr>
            </w:r>
            <w:r>
              <w:rPr>
                <w:rStyle w:val="992"/>
              </w:rPr>
              <w:t xml:space="preserve">Correlation Analysis</w:t>
            </w:r>
            <w:r>
              <w:rPr>
                <w:rStyle w:val="992"/>
              </w:rPr>
            </w:r>
            <w:r>
              <w:tab/>
            </w:r>
            <w:r>
              <w:fldChar w:fldCharType="begin"/>
              <w:instrText xml:space="preserve">PAGEREF _Toc17 \h</w:instrText>
              <w:fldChar w:fldCharType="separate"/>
              <w:t xml:space="preserve">12</w:t>
              <w:fldChar w:fldCharType="end"/>
            </w:r>
          </w:hyperlink>
          <w:r/>
        </w:p>
        <w:p w14:paraId="32EFEC1C">
          <w:pPr>
            <w:pStyle w:val="996"/>
            <w:pBdr/>
            <w:tabs>
              <w:tab w:val="right" w:leader="dot" w:pos="9360"/>
            </w:tabs>
            <w:spacing/>
            <w:ind/>
            <w:rPr/>
          </w:pPr>
          <w:hyperlink w:tooltip="#_Toc18" w:anchor="_Toc18" w:history="1">
            <w:r>
              <w:rPr>
                <w:rStyle w:val="992"/>
              </w:rPr>
            </w:r>
            <w:r>
              <w:rPr>
                <w:rStyle w:val="992"/>
              </w:rPr>
              <w:t xml:space="preserve">Box Plots</w:t>
            </w:r>
            <w:r>
              <w:rPr>
                <w:rStyle w:val="992"/>
              </w:rPr>
            </w:r>
            <w:r>
              <w:tab/>
            </w:r>
            <w:r>
              <w:fldChar w:fldCharType="begin"/>
              <w:instrText xml:space="preserve">PAGEREF _Toc18 \h</w:instrText>
              <w:fldChar w:fldCharType="separate"/>
              <w:t xml:space="preserve">12</w:t>
              <w:fldChar w:fldCharType="end"/>
            </w:r>
          </w:hyperlink>
          <w:r/>
        </w:p>
        <w:p w14:paraId="6A7ECF00">
          <w:pPr>
            <w:pStyle w:val="996"/>
            <w:pBdr/>
            <w:tabs>
              <w:tab w:val="right" w:leader="dot" w:pos="9360"/>
            </w:tabs>
            <w:spacing/>
            <w:ind/>
            <w:rPr/>
          </w:pPr>
          <w:hyperlink w:tooltip="#_Toc19" w:anchor="_Toc19" w:history="1">
            <w:r>
              <w:rPr>
                <w:rStyle w:val="992"/>
              </w:rPr>
            </w:r>
            <w:r>
              <w:rPr>
                <w:rStyle w:val="992"/>
              </w:rPr>
              <w:t xml:space="preserve">Histograms</w:t>
            </w:r>
            <w:r>
              <w:rPr>
                <w:rStyle w:val="992"/>
              </w:rPr>
            </w:r>
            <w:r>
              <w:tab/>
            </w:r>
            <w:r>
              <w:fldChar w:fldCharType="begin"/>
              <w:instrText xml:space="preserve">PAGEREF _Toc19 \h</w:instrText>
              <w:fldChar w:fldCharType="separate"/>
              <w:t xml:space="preserve">12</w:t>
              <w:fldChar w:fldCharType="end"/>
            </w:r>
          </w:hyperlink>
          <w:r/>
        </w:p>
        <w:p w14:paraId="152C559B">
          <w:pPr>
            <w:pStyle w:val="996"/>
            <w:pBdr/>
            <w:tabs>
              <w:tab w:val="right" w:leader="dot" w:pos="9360"/>
            </w:tabs>
            <w:spacing/>
            <w:ind/>
            <w:rPr/>
          </w:pPr>
          <w:hyperlink w:tooltip="#_Toc20" w:anchor="_Toc20" w:history="1">
            <w:r>
              <w:rPr>
                <w:rStyle w:val="992"/>
              </w:rPr>
            </w:r>
            <w:r>
              <w:rPr>
                <w:rStyle w:val="992"/>
              </w:rPr>
              <w:t xml:space="preserve">Group Summaries</w:t>
            </w:r>
            <w:r>
              <w:rPr>
                <w:rStyle w:val="992"/>
              </w:rPr>
            </w:r>
            <w:r>
              <w:tab/>
            </w:r>
            <w:r>
              <w:fldChar w:fldCharType="begin"/>
              <w:instrText xml:space="preserve">PAGEREF _Toc20 \h</w:instrText>
              <w:fldChar w:fldCharType="separate"/>
              <w:t xml:space="preserve">12</w:t>
              <w:fldChar w:fldCharType="end"/>
            </w:r>
          </w:hyperlink>
          <w:r/>
        </w:p>
        <w:p w14:paraId="72E2801B">
          <w:pPr>
            <w:pStyle w:val="996"/>
            <w:pBdr/>
            <w:tabs>
              <w:tab w:val="right" w:leader="dot" w:pos="9360"/>
            </w:tabs>
            <w:spacing/>
            <w:ind/>
            <w:rPr/>
          </w:pPr>
          <w:hyperlink w:tooltip="#_Toc21" w:anchor="_Toc21" w:history="1">
            <w:r>
              <w:rPr>
                <w:rStyle w:val="992"/>
              </w:rPr>
            </w:r>
            <w:r>
              <w:rPr>
                <w:rStyle w:val="992"/>
              </w:rPr>
              <w:t xml:space="preserve">Missing Value Analysis</w:t>
            </w:r>
            <w:r>
              <w:rPr>
                <w:rStyle w:val="992"/>
              </w:rPr>
            </w:r>
            <w:r>
              <w:tab/>
            </w:r>
            <w:r>
              <w:fldChar w:fldCharType="begin"/>
              <w:instrText xml:space="preserve">PAGEREF _Toc21 \h</w:instrText>
              <w:fldChar w:fldCharType="separate"/>
              <w:t xml:space="preserve">13</w:t>
              <w:fldChar w:fldCharType="end"/>
            </w:r>
          </w:hyperlink>
          <w:r/>
        </w:p>
        <w:p w14:paraId="59695F7D">
          <w:pPr>
            <w:pStyle w:val="994"/>
            <w:pBdr/>
            <w:tabs>
              <w:tab w:val="right" w:leader="dot" w:pos="9360"/>
            </w:tabs>
            <w:spacing/>
            <w:ind/>
            <w:rPr>
              <w:rFonts w:ascii="Times New Roman" w:hAnsi="Times New Roman" w:cs="Times New Roman"/>
              <w:highlight w:val="none"/>
            </w:rPr>
          </w:pPr>
          <w:hyperlink w:tooltip="#_Toc22" w:anchor="_Toc22" w:history="1">
            <w:r>
              <w:rPr>
                <w:rStyle w:val="992"/>
              </w:rPr>
            </w:r>
            <w:r>
              <w:rPr>
                <w:rStyle w:val="992"/>
                <w:rFonts w:ascii="Times New Roman" w:hAnsi="Times New Roman" w:cs="Times New Roman"/>
              </w:rPr>
              <w:t xml:space="preserve">VISUAL DATA ANALYSIS</w:t>
            </w:r>
            <w:r>
              <w:rPr>
                <w:rStyle w:val="992"/>
                <w:rFonts w:ascii="Times New Roman" w:hAnsi="Times New Roman" w:cs="Times New Roman"/>
                <w:highlight w:val="none"/>
              </w:rPr>
            </w:r>
            <w:r>
              <w:tab/>
            </w:r>
            <w:r>
              <w:fldChar w:fldCharType="begin"/>
              <w:instrText xml:space="preserve">PAGEREF _Toc22 \h</w:instrText>
              <w:fldChar w:fldCharType="separate"/>
              <w:t xml:space="preserve">14</w:t>
              <w:fldChar w:fldCharType="end"/>
            </w:r>
          </w:hyperlink>
          <w:r>
            <w:rPr>
              <w:rFonts w:ascii="Times New Roman" w:hAnsi="Times New Roman" w:cs="Times New Roman"/>
              <w:highlight w:val="none"/>
            </w:rPr>
          </w:r>
        </w:p>
        <w:p w14:paraId="3586903C">
          <w:pPr>
            <w:pStyle w:val="996"/>
            <w:pBdr/>
            <w:tabs>
              <w:tab w:val="right" w:leader="dot" w:pos="9360"/>
            </w:tabs>
            <w:spacing/>
            <w:ind/>
            <w:rPr>
              <w:highlight w:val="none"/>
            </w:rPr>
          </w:pPr>
          <w:hyperlink w:tooltip="#_Toc23" w:anchor="_Toc23" w:history="1">
            <w:r>
              <w:rPr>
                <w:rStyle w:val="992"/>
              </w:rPr>
            </w:r>
            <w:r>
              <w:rPr>
                <w:rStyle w:val="992"/>
                <w:highlight w:val="none"/>
              </w:rPr>
              <w:t xml:space="preserve">Workflow</w:t>
            </w:r>
            <w:r>
              <w:rPr>
                <w:rStyle w:val="992"/>
                <w:highlight w:val="none"/>
              </w:rPr>
            </w:r>
            <w:r>
              <w:tab/>
            </w:r>
            <w:r>
              <w:fldChar w:fldCharType="begin"/>
              <w:instrText xml:space="preserve">PAGEREF _Toc23 \h</w:instrText>
              <w:fldChar w:fldCharType="separate"/>
              <w:t xml:space="preserve">14</w:t>
              <w:fldChar w:fldCharType="end"/>
            </w:r>
          </w:hyperlink>
          <w:r>
            <w:rPr>
              <w:highlight w:val="none"/>
            </w:rPr>
          </w:r>
        </w:p>
        <w:p w14:paraId="484DCE49">
          <w:pPr>
            <w:pStyle w:val="996"/>
            <w:pBdr/>
            <w:tabs>
              <w:tab w:val="right" w:leader="dot" w:pos="9360"/>
            </w:tabs>
            <w:spacing/>
            <w:ind/>
            <w:rPr>
              <w:highlight w:val="none"/>
            </w:rPr>
          </w:pPr>
          <w:hyperlink w:tooltip="#_Toc24" w:anchor="_Toc24" w:history="1">
            <w:r>
              <w:rPr>
                <w:rStyle w:val="992"/>
              </w:rPr>
            </w:r>
            <w:r>
              <w:rPr>
                <w:rStyle w:val="992"/>
                <w:highlight w:val="none"/>
                <w:lang w:val="ru-RU"/>
              </w:rPr>
              <w:t xml:space="preserve">Analytical report on the energy consumption dataset</w:t>
            </w:r>
            <w:r>
              <w:rPr>
                <w:rStyle w:val="992"/>
                <w:highlight w:val="none"/>
                <w:lang w:val="ru-RU"/>
              </w:rPr>
            </w:r>
            <w:r>
              <w:tab/>
            </w:r>
            <w:r>
              <w:fldChar w:fldCharType="begin"/>
              <w:instrText xml:space="preserve">PAGEREF _Toc24 \h</w:instrText>
              <w:fldChar w:fldCharType="separate"/>
              <w:t xml:space="preserve">16</w:t>
              <w:fldChar w:fldCharType="end"/>
            </w:r>
          </w:hyperlink>
          <w:r>
            <w:rPr>
              <w:highlight w:val="none"/>
              <w:lang w:val="ru-RU"/>
            </w:rPr>
          </w:r>
        </w:p>
        <w:p w14:paraId="7A1DDC0F">
          <w:pPr>
            <w:pStyle w:val="996"/>
            <w:pBdr/>
            <w:tabs>
              <w:tab w:val="right" w:leader="dot" w:pos="9360"/>
            </w:tabs>
            <w:spacing/>
            <w:ind/>
            <w:rPr>
              <w:highlight w:val="none"/>
            </w:rPr>
          </w:pPr>
          <w:hyperlink w:tooltip="#_Toc25" w:anchor="_Toc25" w:history="1">
            <w:r>
              <w:rPr>
                <w:rStyle w:val="992"/>
              </w:rPr>
            </w:r>
            <w:r>
              <w:rPr>
                <w:rStyle w:val="992"/>
                <w:highlight w:val="none"/>
                <w:lang w:val="ru-RU" w:bidi="ru-RU"/>
              </w:rPr>
              <w:t xml:space="preserve">Analytical report on energy consumption data visualization</w:t>
            </w:r>
            <w:r>
              <w:rPr>
                <w:rStyle w:val="992"/>
                <w:highlight w:val="none"/>
                <w:lang w:val="ru-RU" w:bidi="ru-RU"/>
              </w:rPr>
            </w:r>
            <w:r>
              <w:tab/>
            </w:r>
            <w:r>
              <w:fldChar w:fldCharType="begin"/>
              <w:instrText xml:space="preserve">PAGEREF _Toc25 \h</w:instrText>
              <w:fldChar w:fldCharType="separate"/>
              <w:t xml:space="preserve">18</w:t>
              <w:fldChar w:fldCharType="end"/>
            </w:r>
          </w:hyperlink>
          <w:r>
            <w:rPr>
              <w:highlight w:val="none"/>
              <w:lang w:val="ru-RU" w:bidi="ru-RU"/>
            </w:rPr>
          </w:r>
        </w:p>
        <w:p w14:paraId="3C1A671C">
          <w:pPr>
            <w:pStyle w:val="996"/>
            <w:pBdr/>
            <w:tabs>
              <w:tab w:val="right" w:leader="dot" w:pos="9360"/>
            </w:tabs>
            <w:spacing/>
            <w:ind/>
            <w:rPr>
              <w:highlight w:val="none"/>
            </w:rPr>
          </w:pPr>
          <w:hyperlink w:tooltip="#_Toc26" w:anchor="_Toc26" w:history="1">
            <w:r>
              <w:rPr>
                <w:rStyle w:val="992"/>
              </w:rPr>
            </w:r>
            <w:r>
              <w:rPr>
                <w:rStyle w:val="992"/>
                <w:highlight w:val="none"/>
                <w:lang w:val="ru-RU" w:bidi="ru-RU"/>
              </w:rPr>
              <w:t xml:space="preserve">Report on testing statistical hypotheses in the energy sector</w:t>
            </w:r>
            <w:r>
              <w:rPr>
                <w:rStyle w:val="992"/>
                <w:highlight w:val="none"/>
                <w:lang w:val="ru-RU" w:bidi="ru-RU"/>
              </w:rPr>
            </w:r>
            <w:r>
              <w:tab/>
            </w:r>
            <w:r>
              <w:fldChar w:fldCharType="begin"/>
              <w:instrText xml:space="preserve">PAGEREF _Toc26 \h</w:instrText>
              <w:fldChar w:fldCharType="separate"/>
              <w:t xml:space="preserve">22</w:t>
              <w:fldChar w:fldCharType="end"/>
            </w:r>
          </w:hyperlink>
          <w:r>
            <w:rPr>
              <w:highlight w:val="none"/>
              <w:lang w:val="ru-RU" w:bidi="ru-RU"/>
            </w:rPr>
          </w:r>
        </w:p>
        <w:p w14:paraId="268603C1">
          <w:pPr>
            <w:pStyle w:val="996"/>
            <w:pBdr/>
            <w:tabs>
              <w:tab w:val="right" w:leader="dot" w:pos="9360"/>
            </w:tabs>
            <w:spacing/>
            <w:ind/>
            <w:rPr>
              <w:highlight w:val="none"/>
            </w:rPr>
          </w:pPr>
          <w:hyperlink w:tooltip="#_Toc27" w:anchor="_Toc27" w:history="1">
            <w:r>
              <w:rPr>
                <w:rStyle w:val="992"/>
              </w:rPr>
            </w:r>
            <w:r>
              <w:rPr>
                <w:rStyle w:val="992"/>
                <w:highlight w:val="none"/>
                <w:lang w:val="ru-RU" w:bidi="ru-RU"/>
              </w:rPr>
              <w:t xml:space="preserve">Multivariate data analysis: PCA and Clustering (K-Means)</w:t>
            </w:r>
            <w:r>
              <w:rPr>
                <w:rStyle w:val="992"/>
                <w:highlight w:val="none"/>
                <w:lang w:val="ru-RU" w:bidi="ru-RU"/>
              </w:rPr>
            </w:r>
            <w:r>
              <w:tab/>
            </w:r>
            <w:r>
              <w:fldChar w:fldCharType="begin"/>
              <w:instrText xml:space="preserve">PAGEREF _Toc27 \h</w:instrText>
              <w:fldChar w:fldCharType="separate"/>
              <w:t xml:space="preserve">36</w:t>
              <w:fldChar w:fldCharType="end"/>
            </w:r>
          </w:hyperlink>
          <w:r>
            <w:rPr>
              <w:highlight w:val="none"/>
              <w:lang w:val="ru-RU" w:bidi="ru-RU"/>
            </w:rPr>
          </w:r>
        </w:p>
        <w:p w14:paraId="66CCB0F8">
          <w:pPr>
            <w:pStyle w:val="996"/>
            <w:pBdr/>
            <w:tabs>
              <w:tab w:val="right" w:leader="dot" w:pos="9360"/>
            </w:tabs>
            <w:spacing/>
            <w:ind/>
            <w:rPr>
              <w:highlight w:val="none"/>
            </w:rPr>
          </w:pPr>
          <w:hyperlink w:tooltip="#_Toc28" w:anchor="_Toc28" w:history="1">
            <w:r>
              <w:rPr>
                <w:rStyle w:val="992"/>
              </w:rPr>
            </w:r>
            <w:r>
              <w:rPr>
                <w:rStyle w:val="992"/>
                <w:highlight w:val="none"/>
                <w:lang w:val="ru-RU" w:bidi="ru-RU"/>
              </w:rPr>
              <w:t xml:space="preserve">Energy sustainability and depletion risk forecast</w:t>
            </w:r>
            <w:r>
              <w:rPr>
                <w:rStyle w:val="992"/>
                <w:highlight w:val="none"/>
                <w:lang w:val="ru-RU" w:bidi="ru-RU"/>
              </w:rPr>
            </w:r>
            <w:r>
              <w:tab/>
            </w:r>
            <w:r>
              <w:fldChar w:fldCharType="begin"/>
              <w:instrText xml:space="preserve">PAGEREF _Toc28 \h</w:instrText>
              <w:fldChar w:fldCharType="separate"/>
              <w:t xml:space="preserve">41</w:t>
              <w:fldChar w:fldCharType="end"/>
            </w:r>
          </w:hyperlink>
          <w:r>
            <w:rPr>
              <w:highlight w:val="none"/>
              <w:lang w:val="ru-RU" w:bidi="ru-RU"/>
            </w:rPr>
          </w:r>
          <w:r/>
          <w:r>
            <w:fldChar w:fldCharType="end"/>
          </w:r>
          <w:r>
            <w:rPr>
              <w:highlight w:val="none"/>
            </w:rPr>
          </w:r>
          <w:r/>
          <w:r>
            <w:rPr>
              <w:highlight w:val="none"/>
            </w:rPr>
          </w:r>
        </w:p>
      </w:sdtContent>
    </w:sdt>
    <w:p w14:paraId="366142E0">
      <w:pPr>
        <w:pBdr/>
        <w:shd w:val="nil" w:color="auto"/>
        <w:spacing/>
        <w:ind/>
        <w:rPr/>
      </w:pPr>
      <w:r>
        <w:rPr>
          <w:highlight w:val="none"/>
        </w:rPr>
        <w:br w:type="page" w:clear="all"/>
      </w:r>
      <w:r>
        <w:rPr>
          <w:highlight w:val="none"/>
        </w:rPr>
      </w:r>
      <w:r/>
    </w:p>
    <w:p>
      <w:pPr>
        <w:pStyle w:val="947"/>
        <w:pBdr/>
        <w:spacing/>
        <w:ind/>
        <w:rPr>
          <w:highlight w:val="none"/>
        </w:rPr>
      </w:pPr>
      <w:r/>
      <w:bookmarkStart w:id="2" w:name="_Toc2"/>
      <w:r>
        <w:t xml:space="preserve">PROJECT HIGHLIGHTS</w:t>
      </w:r>
      <w:r>
        <w:rPr>
          <w:highlight w:val="none"/>
        </w:rPr>
      </w:r>
      <w:bookmarkEnd w:id="2"/>
      <w:r/>
      <w:r>
        <w:rPr>
          <w:highlight w:val="none"/>
        </w:rPr>
      </w:r>
    </w:p>
    <w:p w14:paraId="4E50E4F5">
      <w:pPr>
        <w:pBdr>
          <w:top w:val="none" w:color="000000" w:sz="4" w:space="0"/>
          <w:left w:val="none" w:color="000000" w:sz="4" w:space="0"/>
          <w:bottom w:val="none" w:color="000000" w:sz="4" w:space="0"/>
          <w:right w:val="none" w:color="000000" w:sz="4" w:space="0"/>
        </w:pBdr>
        <w:spacing/>
        <w:ind w:right="0" w:firstLine="0" w:left="0"/>
        <w:rPr/>
      </w:pPr>
      <w:r>
        <w:t xml:space="preserve">T</w:t>
      </w:r>
      <w:r>
        <w:t xml:space="preserve">his</w:t>
      </w:r>
      <w:r>
        <w:t xml:space="preserve"> project is devoted to the analysis of global natural resources, focusing on energy consumption, production, and depletion risks. The main objective is to evaluate the sustainability of the world’s energy systems, identify regions at risk of resource sh</w:t>
      </w:r>
      <w:r>
        <w:t xml:space="preserve">ortages, and demonstrate the application of descriptive statistics, exploratory data analysis (EDA), statistical hypothesis testing, and multivariate techniques.</w:t>
      </w:r>
      <w:r/>
    </w:p>
    <w:p w14:paraId="3A058E29">
      <w:pPr>
        <w:pBdr>
          <w:top w:val="none" w:color="000000" w:sz="4" w:space="0"/>
          <w:left w:val="none" w:color="000000" w:sz="4" w:space="0"/>
          <w:bottom w:val="none" w:color="000000" w:sz="4" w:space="0"/>
          <w:right w:val="none" w:color="000000" w:sz="4" w:space="0"/>
        </w:pBdr>
        <w:spacing/>
        <w:ind w:right="0" w:firstLine="0" w:left="0"/>
        <w:rPr/>
      </w:pPr>
      <w:r>
        <w:t xml:space="preserve">The study covers the period 1900–2024 and is based on data from Our World in Data (OWID) and BP Energy Institute, including energy consumption, production, CO₂ emissions, and resource reserves for 217 countries across multiple regions. The analysis focuses</w:t>
      </w:r>
      <w:r>
        <w:t xml:space="preserve"> on four key resources (Oil, Gas, Coal, CO₂) and three metrics (Production, Consumption, Emissions).</w:t>
      </w:r>
      <w:r/>
    </w:p>
    <w:p w14:paraId="48D07F79">
      <w:pPr>
        <w:pStyle w:val="948"/>
        <w:pBdr/>
        <w:spacing/>
        <w:ind/>
        <w:rPr/>
      </w:pPr>
      <w:r/>
      <w:bookmarkStart w:id="3" w:name="_Toc3"/>
      <w:r>
        <w:t xml:space="preserve">Key stages of the project </w:t>
      </w:r>
      <w:r>
        <w:t xml:space="preserve">included</w:t>
      </w:r>
      <w:r>
        <w:t xml:space="preserve">:</w:t>
      </w:r>
      <w:bookmarkEnd w:id="3"/>
      <w:r/>
      <w:r/>
    </w:p>
    <w:p w14:paraId="28C0C5B4">
      <w:pPr>
        <w:pStyle w:val="1010"/>
        <w:numPr>
          <w:ilvl w:val="0"/>
          <w:numId w:val="1"/>
        </w:numPr>
        <w:pBdr>
          <w:top w:val="none" w:color="000000" w:sz="4" w:space="0"/>
          <w:left w:val="none" w:color="000000" w:sz="4" w:space="0"/>
          <w:bottom w:val="none" w:color="000000" w:sz="4" w:space="0"/>
          <w:right w:val="none" w:color="000000" w:sz="4" w:space="0"/>
        </w:pBdr>
        <w:spacing/>
        <w:ind w:right="0"/>
        <w:rPr/>
      </w:pPr>
      <w:r>
        <w:t xml:space="preserve">Data collection and cleaning: integrated datasets from OWID and BP, standardized country names, filtered key resources and metrics, removed aggregated regions and historical countries, and ensured numerical formatting for analysis. Each country was assigne</w:t>
      </w:r>
      <w:r>
        <w:t xml:space="preserve">d an ISO code and region for consistent merging.</w:t>
      </w:r>
      <w:r/>
    </w:p>
    <w:p w14:paraId="76C0A9E5">
      <w:pPr>
        <w:pStyle w:val="1010"/>
        <w:numPr>
          <w:ilvl w:val="0"/>
          <w:numId w:val="1"/>
        </w:numPr>
        <w:pBdr>
          <w:top w:val="none" w:color="000000" w:sz="4" w:space="0"/>
          <w:left w:val="none" w:color="000000" w:sz="4" w:space="0"/>
          <w:bottom w:val="none" w:color="000000" w:sz="4" w:space="0"/>
          <w:right w:val="none" w:color="000000" w:sz="4" w:space="0"/>
        </w:pBdr>
        <w:spacing/>
        <w:ind w:right="0"/>
        <w:rPr/>
      </w:pPr>
      <w:r>
        <w:t xml:space="preserve">Exploratory Data Analysis (EDA): assessed distribution of observations by resource, metric, and region; analyzed historical trends; visualized distributions using boxplots and logarithmic scaling to account for extreme outliers and differences between lead</w:t>
      </w:r>
      <w:r>
        <w:t xml:space="preserve">ing countries and the global average.</w:t>
      </w:r>
      <w:r/>
    </w:p>
    <w:p w14:paraId="643D2E7C">
      <w:pPr>
        <w:pStyle w:val="1010"/>
        <w:numPr>
          <w:ilvl w:val="0"/>
          <w:numId w:val="1"/>
        </w:numPr>
        <w:pBdr>
          <w:top w:val="none" w:color="000000" w:sz="4" w:space="0"/>
          <w:left w:val="none" w:color="000000" w:sz="4" w:space="0"/>
          <w:bottom w:val="none" w:color="000000" w:sz="4" w:space="0"/>
          <w:right w:val="none" w:color="000000" w:sz="4" w:space="0"/>
        </w:pBdr>
        <w:spacing/>
        <w:ind w:right="0"/>
        <w:rPr/>
      </w:pPr>
      <w:r>
        <w:t xml:space="preserve">Statistical hypothesis testing: tested regional differences in production, consumption, and emissions using T-tests and p-values to evaluate whether observed gaps between leading countries (e.g., USA, China, Russia) were statistically significant. Key find</w:t>
      </w:r>
      <w:r>
        <w:t xml:space="preserve">ings included regional determinism in all resource metrics and exceptional positions of global leaders.</w:t>
      </w:r>
      <w:r/>
    </w:p>
    <w:p w14:paraId="23691863">
      <w:pPr>
        <w:pStyle w:val="1010"/>
        <w:numPr>
          <w:ilvl w:val="0"/>
          <w:numId w:val="1"/>
        </w:numPr>
        <w:pBdr>
          <w:top w:val="none" w:color="000000" w:sz="4" w:space="0"/>
          <w:left w:val="none" w:color="000000" w:sz="4" w:space="0"/>
          <w:bottom w:val="none" w:color="000000" w:sz="4" w:space="0"/>
          <w:right w:val="none" w:color="000000" w:sz="4" w:space="0"/>
        </w:pBdr>
        <w:spacing/>
        <w:ind w:right="0"/>
        <w:rPr/>
      </w:pPr>
      <w:r>
        <w:t xml:space="preserve">Multivariate analysis: applied Principal Component Analysis (PCA) to reduce dimensionality and K-Means clustering to segment countries by energy profile. Identified clusters ranged from energy giants (China, USA) to small economies, highlighting disparitie</w:t>
      </w:r>
      <w:r>
        <w:t xml:space="preserve">s in scale and structure of energy systems.</w:t>
      </w:r>
      <w:r/>
    </w:p>
    <w:p w14:paraId="6BB2A659">
      <w:pPr>
        <w:pStyle w:val="1010"/>
        <w:numPr>
          <w:ilvl w:val="0"/>
          <w:numId w:val="1"/>
        </w:numPr>
        <w:pBdr>
          <w:top w:val="none" w:color="000000" w:sz="4" w:space="0"/>
          <w:left w:val="none" w:color="000000" w:sz="4" w:space="0"/>
          <w:bottom w:val="none" w:color="000000" w:sz="4" w:space="0"/>
          <w:right w:val="none" w:color="000000" w:sz="4" w:space="0"/>
        </w:pBdr>
        <w:spacing/>
        <w:ind w:right="0"/>
        <w:rPr/>
      </w:pPr>
      <w:r>
        <w:t xml:space="preserve">Sustainability and depletion risk assessment: calculated the Depletion Risk Index (DRI) to evaluate the gap between consumption growth and production growth across regions. This analysis identified critical zones with high import dependence and accelerated</w:t>
      </w:r>
      <w:r>
        <w:t xml:space="preserve"> resource depletion, notably in South Asia, the Middle East, and East Asia.</w:t>
      </w:r>
      <w:r/>
    </w:p>
    <w:p w14:paraId="148DEC8A">
      <w:pPr>
        <w:pStyle w:val="948"/>
        <w:pBdr/>
        <w:spacing/>
        <w:ind/>
        <w:rPr/>
      </w:pPr>
      <w:r/>
      <w:bookmarkStart w:id="4" w:name="_Toc4"/>
      <w:r>
        <w:t xml:space="preserve">Analytical tools and rationale:</w:t>
      </w:r>
      <w:bookmarkEnd w:id="4"/>
      <w:r/>
      <w:r/>
    </w:p>
    <w:p w14:paraId="06A43710">
      <w:pPr>
        <w:pStyle w:val="1010"/>
        <w:numPr>
          <w:ilvl w:val="0"/>
          <w:numId w:val="2"/>
        </w:numPr>
        <w:pBdr>
          <w:top w:val="none" w:color="000000" w:sz="4" w:space="0"/>
          <w:left w:val="none" w:color="000000" w:sz="4" w:space="0"/>
          <w:bottom w:val="none" w:color="000000" w:sz="4" w:space="0"/>
          <w:right w:val="none" w:color="000000" w:sz="4" w:space="0"/>
        </w:pBdr>
        <w:spacing/>
        <w:ind w:right="0"/>
        <w:rPr/>
      </w:pPr>
      <w:r>
        <w:t xml:space="preserve">Python was used for all analyses, including libraries such as pandas (data manipulation), numpy (numerical computation), matplotlib/seaborn (visualization), scipy.stats (hypothesis testing), and scikit-learn (PCA, clustering).</w:t>
      </w:r>
      <w:r/>
    </w:p>
    <w:p w14:paraId="4C2186D7">
      <w:pPr>
        <w:pStyle w:val="1010"/>
        <w:numPr>
          <w:ilvl w:val="0"/>
          <w:numId w:val="2"/>
        </w:numPr>
        <w:pBdr>
          <w:top w:val="none" w:color="000000" w:sz="4" w:space="0"/>
          <w:left w:val="none" w:color="000000" w:sz="4" w:space="0"/>
          <w:bottom w:val="none" w:color="000000" w:sz="4" w:space="0"/>
          <w:right w:val="none" w:color="000000" w:sz="4" w:space="0"/>
        </w:pBdr>
        <w:spacing/>
        <w:ind w:right="0"/>
        <w:rPr/>
      </w:pPr>
      <w:r>
        <w:t xml:space="preserve">EDA, hypothesis testing, and PCA were chosen to manage high variance, detect outliers, and extract patterns from large multivariate datasets spanning more than a century.</w:t>
      </w:r>
      <w:r/>
    </w:p>
    <w:p w14:paraId="0A3B86CE">
      <w:pPr>
        <w:pStyle w:val="948"/>
        <w:pBdr/>
        <w:spacing/>
        <w:ind/>
        <w:rPr/>
      </w:pPr>
      <w:r/>
      <w:bookmarkStart w:id="5" w:name="_Toc5"/>
      <w:r>
        <w:t xml:space="preserve">Outcome:</w:t>
      </w:r>
      <w:bookmarkEnd w:id="5"/>
      <w:r/>
      <w:r/>
    </w:p>
    <w:p w14:paraId="233C6C55">
      <w:pPr>
        <w:pBdr>
          <w:top w:val="none" w:color="000000" w:sz="4" w:space="0"/>
          <w:left w:val="none" w:color="000000" w:sz="4" w:space="0"/>
          <w:bottom w:val="none" w:color="000000" w:sz="4" w:space="0"/>
          <w:right w:val="none" w:color="000000" w:sz="4" w:space="0"/>
        </w:pBdr>
        <w:spacing/>
        <w:ind w:right="0" w:firstLine="0" w:left="0"/>
        <w:rPr/>
      </w:pPr>
      <w:r>
        <w:t xml:space="preserve">The project produced a structured analytical report and visualizations showing historical trends, regional disparities, and projections of resource depletion. The findings indicate that global energy systems are entering a phase of “transitional </w:t>
      </w:r>
      <w:r>
        <w:t xml:space="preserve">fragility,” with consumption growth outpacing production in several critical regions. This underscores the urgent need for improved energy efficiency, renewable energy adoption, and strategic policy planning to ensure long-term sustainability.</w:t>
      </w:r>
      <w:r/>
    </w:p>
    <w:p w14:paraId="5F52DF7F">
      <w:pPr>
        <w:pBdr/>
        <w:shd w:val="nil" w:color="auto"/>
        <w:spacing/>
        <w:ind/>
        <w:rPr>
          <w:rFonts w:ascii="Times New Roman" w:hAnsi="Times New Roman" w:cs="Times New Roman"/>
          <w:b/>
          <w:bCs/>
          <w:sz w:val="28"/>
          <w:szCs w:val="28"/>
        </w:rPr>
      </w:pPr>
      <w:r>
        <w:rPr>
          <w:rFonts w:ascii="Times New Roman" w:hAnsi="Times New Roman" w:cs="Times New Roman"/>
          <w:b/>
          <w:bCs/>
          <w:sz w:val="28"/>
          <w:szCs w:val="28"/>
          <w:highlight w:val="none"/>
        </w:rPr>
        <w:br w:type="page" w:clear="all"/>
      </w:r>
      <w:r>
        <w:rPr>
          <w:rFonts w:ascii="Times New Roman" w:hAnsi="Times New Roman" w:cs="Times New Roman"/>
          <w:b/>
          <w:bCs/>
          <w:sz w:val="28"/>
          <w:szCs w:val="28"/>
        </w:rPr>
      </w:r>
      <w:r>
        <w:rPr>
          <w:rFonts w:ascii="Times New Roman" w:hAnsi="Times New Roman" w:cs="Times New Roman"/>
          <w:b/>
          <w:bCs/>
          <w:sz w:val="28"/>
          <w:szCs w:val="28"/>
        </w:rPr>
      </w:r>
    </w:p>
    <w:p w14:paraId="71FE55B5">
      <w:pPr>
        <w:pStyle w:val="947"/>
        <w:pBdr/>
        <w:spacing/>
        <w:ind/>
        <w:rPr>
          <w:rFonts w:ascii="Times New Roman" w:hAnsi="Times New Roman" w:cs="Times New Roman"/>
          <w:b/>
          <w:bCs/>
          <w:sz w:val="28"/>
          <w:szCs w:val="28"/>
          <w:highlight w:val="none"/>
        </w:rPr>
      </w:pPr>
      <w:r/>
      <w:bookmarkStart w:id="6" w:name="_Toc6"/>
      <w:r>
        <w:rPr>
          <w:rFonts w:ascii="Times New Roman" w:hAnsi="Times New Roman" w:cs="Times New Roman"/>
          <w:b/>
          <w:bCs/>
          <w:sz w:val="28"/>
          <w:szCs w:val="28"/>
        </w:rPr>
        <w:t xml:space="preserve">PROJECT AIM</w:t>
      </w:r>
      <w:r>
        <w:rPr>
          <w:rFonts w:ascii="Times New Roman" w:hAnsi="Times New Roman" w:cs="Times New Roman"/>
          <w:b/>
          <w:bCs/>
          <w:sz w:val="28"/>
          <w:szCs w:val="28"/>
          <w:highlight w:val="none"/>
        </w:rPr>
      </w:r>
      <w:bookmarkEnd w:id="6"/>
      <w:r/>
      <w:r>
        <w:rPr>
          <w:rFonts w:ascii="Times New Roman" w:hAnsi="Times New Roman" w:cs="Times New Roman"/>
          <w:b/>
          <w:bCs/>
          <w:sz w:val="28"/>
          <w:szCs w:val="28"/>
          <w:highlight w:val="none"/>
        </w:rPr>
      </w:r>
    </w:p>
    <w:p w14:paraId="722076F7">
      <w:pPr>
        <w:pBdr>
          <w:top w:val="none" w:color="000000" w:sz="4" w:space="0"/>
          <w:left w:val="none" w:color="000000" w:sz="4" w:space="0"/>
          <w:bottom w:val="none" w:color="000000" w:sz="4" w:space="0"/>
          <w:right w:val="none" w:color="000000" w:sz="4" w:space="0"/>
        </w:pBdr>
        <w:spacing/>
        <w:ind w:right="0" w:firstLine="0" w:left="0"/>
        <w:rPr/>
      </w:pPr>
      <w:r>
        <w:t xml:space="preserve">The aim of this project is to conduct a comprehensive statistical, visual, and multivariate analysis of global energy resources in order to assess consumption, production, emissions, and depletion risks, as well as to identify regions and countries most vu</w:t>
      </w:r>
      <w:r>
        <w:t xml:space="preserve">lnerable to energy shortages.</w:t>
      </w:r>
      <w:r/>
    </w:p>
    <w:p w14:paraId="3808F22A">
      <w:pPr>
        <w:pBdr>
          <w:top w:val="none" w:color="000000" w:sz="4" w:space="0"/>
          <w:left w:val="none" w:color="000000" w:sz="4" w:space="0"/>
          <w:bottom w:val="none" w:color="000000" w:sz="4" w:space="0"/>
          <w:right w:val="none" w:color="000000" w:sz="4" w:space="0"/>
        </w:pBdr>
        <w:spacing/>
        <w:ind w:right="0" w:firstLine="0" w:left="0"/>
        <w:rPr/>
      </w:pPr>
      <w:r>
        <w:t xml:space="preserve">To achieve this objective, the following tasks were defined in the study:</w:t>
      </w:r>
      <w:r/>
    </w:p>
    <w:p w14:paraId="35427AFE">
      <w:pPr>
        <w:pStyle w:val="1010"/>
        <w:numPr>
          <w:ilvl w:val="0"/>
          <w:numId w:val="3"/>
        </w:numPr>
        <w:pBdr>
          <w:top w:val="none" w:color="000000" w:sz="4" w:space="0"/>
          <w:left w:val="none" w:color="000000" w:sz="4" w:space="0"/>
          <w:bottom w:val="none" w:color="000000" w:sz="4" w:space="0"/>
          <w:right w:val="none" w:color="000000" w:sz="4" w:space="0"/>
        </w:pBdr>
        <w:spacing/>
        <w:ind w:right="0"/>
        <w:rPr/>
      </w:pPr>
      <w:r>
        <w:t xml:space="preserve">to select and justify datasets from reputable sources (Our World in Data, BP Energy Institute) covering historical and current energy metrics;</w:t>
      </w:r>
      <w:r/>
    </w:p>
    <w:p w14:paraId="13B1504F">
      <w:pPr>
        <w:pStyle w:val="1010"/>
        <w:numPr>
          <w:ilvl w:val="0"/>
          <w:numId w:val="3"/>
        </w:numPr>
        <w:pBdr>
          <w:top w:val="none" w:color="000000" w:sz="4" w:space="0"/>
          <w:left w:val="none" w:color="000000" w:sz="4" w:space="0"/>
          <w:bottom w:val="none" w:color="000000" w:sz="4" w:space="0"/>
          <w:right w:val="none" w:color="000000" w:sz="4" w:space="0"/>
        </w:pBdr>
        <w:spacing/>
        <w:ind w:right="0"/>
        <w:rPr/>
      </w:pPr>
      <w:r>
        <w:t xml:space="preserve">to examine the dataset structure, feature types, missing values, and perform data cleaning and normalization;</w:t>
      </w:r>
      <w:r/>
    </w:p>
    <w:p w14:paraId="0B88CB32">
      <w:pPr>
        <w:pStyle w:val="1010"/>
        <w:numPr>
          <w:ilvl w:val="0"/>
          <w:numId w:val="3"/>
        </w:numPr>
        <w:pBdr>
          <w:top w:val="none" w:color="000000" w:sz="4" w:space="0"/>
          <w:left w:val="none" w:color="000000" w:sz="4" w:space="0"/>
          <w:bottom w:val="none" w:color="000000" w:sz="4" w:space="0"/>
          <w:right w:val="none" w:color="000000" w:sz="4" w:space="0"/>
        </w:pBdr>
        <w:spacing/>
        <w:ind w:right="0"/>
        <w:rPr/>
      </w:pPr>
      <w:r>
        <w:t xml:space="preserve">to perform descriptive and exploratory data analysis to identify trends in production, consumption, and emissions across regions and resources;</w:t>
      </w:r>
      <w:r/>
    </w:p>
    <w:p w14:paraId="25B3B47B">
      <w:pPr>
        <w:pStyle w:val="1010"/>
        <w:numPr>
          <w:ilvl w:val="0"/>
          <w:numId w:val="3"/>
        </w:numPr>
        <w:pBdr>
          <w:top w:val="none" w:color="000000" w:sz="4" w:space="0"/>
          <w:left w:val="none" w:color="000000" w:sz="4" w:space="0"/>
          <w:bottom w:val="none" w:color="000000" w:sz="4" w:space="0"/>
          <w:right w:val="none" w:color="000000" w:sz="4" w:space="0"/>
        </w:pBdr>
        <w:spacing/>
        <w:ind w:right="0"/>
        <w:rPr/>
      </w:pPr>
      <w:r>
        <w:t xml:space="preserve">to analyze historical patterns and highlight extreme values, outliers, and disparities among major global players;</w:t>
      </w:r>
      <w:r/>
    </w:p>
    <w:p w14:paraId="6055F89C">
      <w:pPr>
        <w:pStyle w:val="1010"/>
        <w:numPr>
          <w:ilvl w:val="0"/>
          <w:numId w:val="3"/>
        </w:numPr>
        <w:pBdr>
          <w:top w:val="none" w:color="000000" w:sz="4" w:space="0"/>
          <w:left w:val="none" w:color="000000" w:sz="4" w:space="0"/>
          <w:bottom w:val="none" w:color="000000" w:sz="4" w:space="0"/>
          <w:right w:val="none" w:color="000000" w:sz="4" w:space="0"/>
        </w:pBdr>
        <w:spacing/>
        <w:ind w:right="0"/>
        <w:rPr/>
      </w:pPr>
      <w:r>
        <w:t xml:space="preserve">to formulate and test statistical hypotheses regarding regional and country-level differences in energy production, consumption, and emissions;</w:t>
      </w:r>
      <w:r/>
    </w:p>
    <w:p w14:paraId="3BF821FC">
      <w:pPr>
        <w:pStyle w:val="1010"/>
        <w:numPr>
          <w:ilvl w:val="0"/>
          <w:numId w:val="3"/>
        </w:numPr>
        <w:pBdr>
          <w:top w:val="none" w:color="000000" w:sz="4" w:space="0"/>
          <w:left w:val="none" w:color="000000" w:sz="4" w:space="0"/>
          <w:bottom w:val="none" w:color="000000" w:sz="4" w:space="0"/>
          <w:right w:val="none" w:color="000000" w:sz="4" w:space="0"/>
        </w:pBdr>
        <w:spacing/>
        <w:ind w:right="0"/>
        <w:rPr/>
      </w:pPr>
      <w:r>
        <w:t xml:space="preserve">to conduct multivariate analysis using PCA and clustering to segment countries based on energy profiles;</w:t>
      </w:r>
      <w:r/>
    </w:p>
    <w:p w14:paraId="0849C9A7">
      <w:pPr>
        <w:pStyle w:val="1010"/>
        <w:numPr>
          <w:ilvl w:val="0"/>
          <w:numId w:val="3"/>
        </w:numPr>
        <w:pBdr>
          <w:top w:val="none" w:color="000000" w:sz="4" w:space="0"/>
          <w:left w:val="none" w:color="000000" w:sz="4" w:space="0"/>
          <w:bottom w:val="none" w:color="000000" w:sz="4" w:space="0"/>
          <w:right w:val="none" w:color="000000" w:sz="4" w:space="0"/>
        </w:pBdr>
        <w:spacing/>
        <w:ind w:right="0"/>
        <w:rPr/>
      </w:pPr>
      <w:r>
        <w:t xml:space="preserve">to evaluate energy sustainability and depletion risks through the Depletion Risk Index (DRI) and long-term projections;</w:t>
      </w:r>
      <w:r/>
    </w:p>
    <w:p w14:paraId="2965DA35">
      <w:pPr>
        <w:pStyle w:val="1010"/>
        <w:numPr>
          <w:ilvl w:val="0"/>
          <w:numId w:val="3"/>
        </w:numPr>
        <w:pBdr>
          <w:top w:val="none" w:color="000000" w:sz="4" w:space="0"/>
          <w:left w:val="none" w:color="000000" w:sz="4" w:space="0"/>
          <w:bottom w:val="none" w:color="000000" w:sz="4" w:space="0"/>
          <w:right w:val="none" w:color="000000" w:sz="4" w:space="0"/>
        </w:pBdr>
        <w:spacing/>
        <w:ind w:right="0"/>
        <w:rPr/>
      </w:pPr>
      <w:r>
        <w:t xml:space="preserve">to interpret the results from an economic, geopolitical, and environmental perspective;</w:t>
      </w:r>
      <w:r/>
    </w:p>
    <w:p w14:paraId="13AEA565">
      <w:pPr>
        <w:pStyle w:val="1010"/>
        <w:numPr>
          <w:ilvl w:val="0"/>
          <w:numId w:val="3"/>
        </w:numPr>
        <w:pBdr>
          <w:top w:val="none" w:color="000000" w:sz="4" w:space="0"/>
          <w:left w:val="none" w:color="000000" w:sz="4" w:space="0"/>
          <w:bottom w:val="none" w:color="000000" w:sz="4" w:space="0"/>
          <w:right w:val="none" w:color="000000" w:sz="4" w:space="0"/>
        </w:pBdr>
        <w:spacing/>
        <w:ind w:right="0"/>
        <w:rPr/>
      </w:pPr>
      <w:r>
        <w:t xml:space="preserve">to present the analysis in a structured report and visual presentation;</w:t>
      </w:r>
      <w:r/>
    </w:p>
    <w:p w14:paraId="31407717">
      <w:pPr>
        <w:pStyle w:val="1010"/>
        <w:numPr>
          <w:ilvl w:val="0"/>
          <w:numId w:val="3"/>
        </w:numPr>
        <w:pBdr>
          <w:top w:val="none" w:color="000000" w:sz="4" w:space="0"/>
          <w:left w:val="none" w:color="000000" w:sz="4" w:space="0"/>
          <w:bottom w:val="none" w:color="000000" w:sz="4" w:space="0"/>
          <w:right w:val="none" w:color="000000" w:sz="4" w:space="0"/>
        </w:pBdr>
        <w:spacing/>
        <w:ind w:right="0"/>
        <w:rPr/>
      </w:pPr>
      <w:r>
        <w:t xml:space="preserve">to formulate insights and recommendations for improving energy security, efficiency, and strategic resource planning globally.</w:t>
      </w:r>
      <w:r/>
    </w:p>
    <w:p w14:paraId="7F4C5117">
      <w:pPr>
        <w:pStyle w:val="948"/>
        <w:pBdr/>
        <w:spacing/>
        <w:ind/>
        <w:rPr>
          <w14:ligatures w14:val="none"/>
        </w:rPr>
      </w:pPr>
      <w:r/>
      <w:bookmarkStart w:id="8" w:name="_Toc8"/>
      <w:r>
        <w:t xml:space="preserve">DESCRIPTIVE STATISTICS AND EXPLORATORY DATA ANALYSIS</w:t>
      </w:r>
      <w:r/>
      <w:bookmarkEnd w:id="8"/>
      <w:r/>
      <w:r/>
    </w:p>
    <w:p w14:paraId="708A748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t xml:space="preserve">Within the project, a sequential stage of descriptive statistics and exploratory data analysis (EDA) was carried out, which serves as the foundation for subsequent visual, statistical, and multivariate </w:t>
      </w:r>
      <w:r>
        <w:t xml:space="preserve">analysis. This stage allowed for examination of dataset structure, feature characteristics, and identification of potential data quality issues.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65C0239">
      <w:pPr>
        <w:pStyle w:val="949"/>
        <w:pBdr/>
        <w:spacing/>
        <w:ind/>
        <w:rPr>
          <w14:ligatures w14:val="none"/>
        </w:rPr>
      </w:pPr>
      <w:r/>
      <w:bookmarkStart w:id="9" w:name="_Toc9"/>
      <w:r>
        <w:t xml:space="preserve">Field </w:t>
      </w:r>
      <w:r>
        <w:t xml:space="preserve">Description</w:t>
      </w:r>
      <w:r/>
      <w:bookmarkEnd w:id="9"/>
      <w:r/>
      <w:r>
        <w:rPr>
          <w14:ligatures w14:val="none"/>
        </w:rPr>
      </w:r>
    </w:p>
    <w:p w14:paraId="6BC94F03">
      <w:pPr>
        <w:pStyle w:val="1010"/>
        <w:numPr>
          <w:ilvl w:val="0"/>
          <w:numId w:val="5"/>
        </w:numPr>
        <w:pBdr>
          <w:top w:val="none" w:color="000000" w:sz="4" w:space="0"/>
          <w:left w:val="none" w:color="000000" w:sz="4" w:space="0"/>
          <w:bottom w:val="none" w:color="000000" w:sz="4" w:space="0"/>
          <w:right w:val="none" w:color="000000" w:sz="4" w:space="0"/>
        </w:pBdr>
        <w:spacing/>
        <w:ind w:right="0"/>
        <w:rPr/>
      </w:pPr>
      <w:r>
        <w:t xml:space="preserve">All variables from the integrated OWID and BP datasets were examined, including their semantic meaning and role in the analysis.</w:t>
      </w:r>
      <w:r/>
    </w:p>
    <w:p w14:paraId="5EB7F636">
      <w:pPr>
        <w:pStyle w:val="1010"/>
        <w:numPr>
          <w:ilvl w:val="0"/>
          <w:numId w:val="5"/>
        </w:numPr>
        <w:pBdr>
          <w:top w:val="none" w:color="000000" w:sz="4" w:space="0"/>
          <w:left w:val="none" w:color="000000" w:sz="4" w:space="0"/>
          <w:bottom w:val="none" w:color="000000" w:sz="4" w:space="0"/>
          <w:right w:val="none" w:color="000000" w:sz="4" w:space="0"/>
        </w:pBdr>
        <w:spacing/>
        <w:ind w:right="0"/>
        <w:rPr/>
      </w:pPr>
      <w:r>
        <w:t xml:space="preserve">Special attention was given to key features such as resource type (Oil, Gas, Coal, CO₂) and metric (Production, Consumption, Emissions).</w:t>
      </w:r>
      <w:r/>
    </w:p>
    <w:p w14:paraId="05D9ACEA">
      <w:pPr>
        <w:pStyle w:val="1010"/>
        <w:numPr>
          <w:ilvl w:val="0"/>
          <w:numId w:val="5"/>
        </w:numPr>
        <w:pBdr>
          <w:top w:val="none" w:color="000000" w:sz="4" w:space="0"/>
          <w:left w:val="none" w:color="000000" w:sz="4" w:space="0"/>
          <w:bottom w:val="none" w:color="000000" w:sz="4" w:space="0"/>
          <w:right w:val="none" w:color="000000" w:sz="4" w:space="0"/>
        </w:pBdr>
        <w:spacing/>
        <w:ind w:right="0"/>
        <w:rPr/>
      </w:pPr>
      <w:r>
        <w:t xml:space="preserve">This step was necessary to understand the data structure, ensure correct interpretation of results, and select appropriate analytical methods.</w:t>
      </w:r>
      <w:r/>
    </w:p>
    <w:p w14:paraId="4806A126">
      <w:pPr>
        <w:pStyle w:val="949"/>
        <w:pBdr/>
        <w:spacing/>
        <w:ind/>
        <w:rPr/>
      </w:pPr>
      <w:r/>
      <w:bookmarkStart w:id="10" w:name="_Toc10"/>
      <w:r>
        <w:t xml:space="preserve">Basic Statistics</w:t>
      </w:r>
      <w:r/>
      <w:bookmarkEnd w:id="10"/>
      <w:r/>
      <w:r/>
    </w:p>
    <w:p w14:paraId="4139DBD1">
      <w:pPr>
        <w:pBdr>
          <w:top w:val="none" w:color="000000" w:sz="4" w:space="0"/>
          <w:left w:val="none" w:color="000000" w:sz="4" w:space="0"/>
          <w:bottom w:val="none" w:color="000000" w:sz="4" w:space="0"/>
          <w:right w:val="none" w:color="000000" w:sz="4" w:space="0"/>
        </w:pBdr>
        <w:spacing/>
        <w:ind w:right="0" w:firstLine="0" w:left="709"/>
        <w:rPr>
          <w:rFonts w:ascii="Times New Roman" w:hAnsi="Times New Roman" w:eastAsia="Times New Roman" w:cs="Times New Roman"/>
          <w:sz w:val="24"/>
          <w:szCs w:val="24"/>
        </w:rPr>
      </w:pPr>
      <w:r>
        <w:t xml:space="preserve">For numerical features, key statistical measures were calculated:</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755AAC75">
      <w:pPr>
        <w:pStyle w:val="1010"/>
        <w:numPr>
          <w:ilvl w:val="0"/>
          <w:numId w:val="7"/>
        </w:numPr>
        <w:pBdr>
          <w:top w:val="none" w:color="000000" w:sz="4" w:space="0"/>
          <w:left w:val="none" w:color="000000" w:sz="4" w:space="0"/>
          <w:bottom w:val="none" w:color="000000" w:sz="4" w:space="0"/>
          <w:right w:val="none" w:color="000000" w:sz="4" w:space="0"/>
        </w:pBdr>
        <w:spacing/>
        <w:ind w:right="0"/>
        <w:rPr/>
      </w:pPr>
      <w:r>
        <w:t xml:space="preserve">mean,</w:t>
      </w:r>
      <w:r/>
    </w:p>
    <w:p w14:paraId="3987884D">
      <w:pPr>
        <w:pStyle w:val="1010"/>
        <w:numPr>
          <w:ilvl w:val="0"/>
          <w:numId w:val="7"/>
        </w:numPr>
        <w:pBdr>
          <w:top w:val="none" w:color="000000" w:sz="4" w:space="0"/>
          <w:left w:val="none" w:color="000000" w:sz="4" w:space="0"/>
          <w:bottom w:val="none" w:color="000000" w:sz="4" w:space="0"/>
          <w:right w:val="none" w:color="000000" w:sz="4" w:space="0"/>
        </w:pBdr>
        <w:spacing/>
        <w:ind w:right="0"/>
        <w:rPr/>
      </w:pPr>
      <w:r>
        <w:t xml:space="preserve">median,</w:t>
      </w:r>
      <w:r/>
    </w:p>
    <w:p w14:paraId="214E60E5">
      <w:pPr>
        <w:pStyle w:val="1010"/>
        <w:numPr>
          <w:ilvl w:val="0"/>
          <w:numId w:val="7"/>
        </w:numPr>
        <w:pBdr>
          <w:top w:val="none" w:color="000000" w:sz="4" w:space="0"/>
          <w:left w:val="none" w:color="000000" w:sz="4" w:space="0"/>
          <w:bottom w:val="none" w:color="000000" w:sz="4" w:space="0"/>
          <w:right w:val="none" w:color="000000" w:sz="4" w:space="0"/>
        </w:pBdr>
        <w:spacing/>
        <w:ind w:right="0"/>
        <w:rPr/>
      </w:pPr>
      <w:r>
        <w:t xml:space="preserve">standard deviation,</w:t>
      </w:r>
      <w:r/>
    </w:p>
    <w:p w14:paraId="10C9BB10">
      <w:pPr>
        <w:pStyle w:val="1010"/>
        <w:numPr>
          <w:ilvl w:val="0"/>
          <w:numId w:val="7"/>
        </w:numPr>
        <w:pBdr>
          <w:top w:val="none" w:color="000000" w:sz="4" w:space="0"/>
          <w:left w:val="none" w:color="000000" w:sz="4" w:space="0"/>
          <w:bottom w:val="none" w:color="000000" w:sz="4" w:space="0"/>
          <w:right w:val="none" w:color="000000" w:sz="4" w:space="0"/>
        </w:pBdr>
        <w:spacing/>
        <w:ind w:right="0"/>
        <w:rPr/>
      </w:pPr>
      <w:r>
        <w:t xml:space="preserve">minimum and maximum values.</w:t>
        <w:br/>
        <w:t xml:space="preserve">These measures allowed assessment of central tendencies, variability, and extreme values (outliers), which is critical for understanding the global distribution of energy resources and identifying leading countries.</w:t>
      </w:r>
      <w:r/>
    </w:p>
    <w:p w14:paraId="01B04960">
      <w:pPr>
        <w:pStyle w:val="949"/>
        <w:pBdr/>
        <w:spacing/>
        <w:ind/>
        <w:rPr/>
      </w:pPr>
      <w:r/>
      <w:bookmarkStart w:id="11" w:name="_Toc11"/>
      <w:r>
        <w:t xml:space="preserve">Data Dimensionality</w:t>
      </w:r>
      <w:r/>
      <w:bookmarkEnd w:id="11"/>
      <w:r/>
      <w:r/>
    </w:p>
    <w:p w14:paraId="71BA83BB">
      <w:pPr>
        <w:pStyle w:val="1010"/>
        <w:numPr>
          <w:ilvl w:val="0"/>
          <w:numId w:val="9"/>
        </w:numPr>
        <w:pBdr>
          <w:top w:val="none" w:color="000000" w:sz="4" w:space="0"/>
          <w:left w:val="none" w:color="000000" w:sz="4" w:space="0"/>
          <w:bottom w:val="none" w:color="000000" w:sz="4" w:space="0"/>
          <w:right w:val="none" w:color="000000" w:sz="4" w:space="0"/>
        </w:pBdr>
        <w:spacing/>
        <w:ind w:right="0"/>
        <w:rPr/>
      </w:pPr>
      <w:r>
        <w:t xml:space="preserve">The dataset includes 80,639 rows and 11 columns.</w:t>
      </w:r>
      <w:r/>
    </w:p>
    <w:p w14:paraId="00A2CC56">
      <w:pPr>
        <w:pStyle w:val="1010"/>
        <w:numPr>
          <w:ilvl w:val="0"/>
          <w:numId w:val="9"/>
        </w:numPr>
        <w:pBdr>
          <w:top w:val="none" w:color="000000" w:sz="4" w:space="0"/>
          <w:left w:val="none" w:color="000000" w:sz="4" w:space="0"/>
          <w:bottom w:val="none" w:color="000000" w:sz="4" w:space="0"/>
          <w:right w:val="none" w:color="000000" w:sz="4" w:space="0"/>
        </w:pBdr>
        <w:spacing/>
        <w:ind w:right="0"/>
        <w:rPr/>
      </w:pPr>
      <w:r>
        <w:t xml:space="preserve">Initial rows were displayed to visually check data loading, value formats, and presence of missing values.</w:t>
      </w:r>
      <w:r/>
    </w:p>
    <w:p w14:paraId="104CE195">
      <w:pPr>
        <w:pStyle w:val="949"/>
        <w:pBdr/>
        <w:spacing/>
        <w:ind/>
        <w:rPr/>
      </w:pPr>
      <w:r/>
      <w:bookmarkStart w:id="12" w:name="_Toc12"/>
      <w:r>
        <w:t xml:space="preserve">Data Types</w:t>
      </w:r>
      <w:r/>
      <w:bookmarkEnd w:id="12"/>
      <w:r/>
      <w:r/>
    </w:p>
    <w:p w14:paraId="414395AE">
      <w:pPr>
        <w:pStyle w:val="1010"/>
        <w:numPr>
          <w:ilvl w:val="0"/>
          <w:numId w:val="11"/>
        </w:numPr>
        <w:pBdr>
          <w:top w:val="none" w:color="000000" w:sz="4" w:space="0"/>
          <w:left w:val="none" w:color="000000" w:sz="4" w:space="0"/>
          <w:bottom w:val="none" w:color="000000" w:sz="4" w:space="0"/>
          <w:right w:val="none" w:color="000000" w:sz="4" w:space="0"/>
        </w:pBdr>
        <w:spacing/>
        <w:ind w:right="0"/>
        <w:rPr/>
      </w:pPr>
      <w:r>
        <w:t xml:space="preserve">For each column, the data type (numerical or categorical) was identified.</w:t>
      </w:r>
      <w:r/>
    </w:p>
    <w:p w14:paraId="18B4E9AD">
      <w:pPr>
        <w:pStyle w:val="1010"/>
        <w:numPr>
          <w:ilvl w:val="0"/>
          <w:numId w:val="11"/>
        </w:numPr>
        <w:pBdr>
          <w:top w:val="none" w:color="000000" w:sz="4" w:space="0"/>
          <w:left w:val="none" w:color="000000" w:sz="4" w:space="0"/>
          <w:bottom w:val="none" w:color="000000" w:sz="4" w:space="0"/>
          <w:right w:val="none" w:color="000000" w:sz="4" w:space="0"/>
        </w:pBdr>
        <w:spacing/>
        <w:ind w:right="0"/>
        <w:rPr/>
      </w:pPr>
      <w:r>
        <w:t xml:space="preserve">This step ensured correct application of statistical and visualization methods and prevented processing errors.</w:t>
      </w:r>
      <w:r/>
    </w:p>
    <w:p w14:paraId="6B2379F9">
      <w:pPr>
        <w:pStyle w:val="949"/>
        <w:pBdr/>
        <w:spacing/>
        <w:ind/>
        <w:rPr/>
      </w:pPr>
      <w:r/>
      <w:bookmarkStart w:id="13" w:name="_Toc13"/>
      <w:r>
        <w:t xml:space="preserve">Counting Unique Values</w:t>
      </w:r>
      <w:r/>
      <w:bookmarkEnd w:id="13"/>
      <w:r/>
      <w:r/>
    </w:p>
    <w:p w14:paraId="594B23C7">
      <w:pPr>
        <w:pStyle w:val="1010"/>
        <w:numPr>
          <w:ilvl w:val="0"/>
          <w:numId w:val="13"/>
        </w:numPr>
        <w:pBdr>
          <w:top w:val="none" w:color="000000" w:sz="4" w:space="0"/>
          <w:left w:val="none" w:color="000000" w:sz="4" w:space="0"/>
          <w:bottom w:val="none" w:color="000000" w:sz="4" w:space="0"/>
          <w:right w:val="none" w:color="000000" w:sz="4" w:space="0"/>
        </w:pBdr>
        <w:spacing/>
        <w:ind w:right="0"/>
        <w:rPr/>
      </w:pPr>
      <w:r>
        <w:t xml:space="preserve">For categorical features such as country, region, resource, and metric, the number of unique values was calculated.</w:t>
      </w:r>
      <w:r/>
    </w:p>
    <w:p w14:paraId="78C65517">
      <w:pPr>
        <w:pStyle w:val="1010"/>
        <w:numPr>
          <w:ilvl w:val="0"/>
          <w:numId w:val="13"/>
        </w:numPr>
        <w:pBdr>
          <w:top w:val="none" w:color="000000" w:sz="4" w:space="0"/>
          <w:left w:val="none" w:color="000000" w:sz="4" w:space="0"/>
          <w:bottom w:val="none" w:color="000000" w:sz="4" w:space="0"/>
          <w:right w:val="none" w:color="000000" w:sz="4" w:space="0"/>
        </w:pBdr>
        <w:spacing/>
        <w:ind w:right="0"/>
        <w:rPr/>
      </w:pPr>
      <w:r>
        <w:t xml:space="preserve">This helped assess data diversity and informed the selection of features for segmentation and multivariate analysis.</w:t>
      </w:r>
      <w:r/>
    </w:p>
    <w:p w14:paraId="60400A65">
      <w:pPr>
        <w:pStyle w:val="949"/>
        <w:pBdr/>
        <w:spacing/>
        <w:ind/>
        <w:rPr/>
      </w:pPr>
      <w:r/>
      <w:bookmarkStart w:id="14" w:name="_Toc14"/>
      <w:r>
        <w:t xml:space="preserve">Frequency Analysis of Categorical Features</w:t>
      </w:r>
      <w:r/>
      <w:bookmarkEnd w:id="14"/>
      <w:r/>
      <w:r/>
    </w:p>
    <w:p w14:paraId="282F2BFF">
      <w:pPr>
        <w:pStyle w:val="1010"/>
        <w:numPr>
          <w:ilvl w:val="0"/>
          <w:numId w:val="15"/>
        </w:numPr>
        <w:pBdr>
          <w:top w:val="none" w:color="000000" w:sz="4" w:space="0"/>
          <w:left w:val="none" w:color="000000" w:sz="4" w:space="0"/>
          <w:bottom w:val="none" w:color="000000" w:sz="4" w:space="0"/>
          <w:right w:val="none" w:color="000000" w:sz="4" w:space="0"/>
        </w:pBdr>
        <w:spacing/>
        <w:ind w:right="0"/>
        <w:rPr/>
      </w:pPr>
      <w:r>
        <w:t xml:space="preserve">Frequency distributions were constructed for resources, metrics, and regions.</w:t>
      </w:r>
      <w:r/>
    </w:p>
    <w:p w14:paraId="4F9D5C3A">
      <w:pPr>
        <w:pStyle w:val="1010"/>
        <w:numPr>
          <w:ilvl w:val="0"/>
          <w:numId w:val="15"/>
        </w:numPr>
        <w:pBdr>
          <w:top w:val="none" w:color="000000" w:sz="4" w:space="0"/>
          <w:left w:val="none" w:color="000000" w:sz="4" w:space="0"/>
          <w:bottom w:val="none" w:color="000000" w:sz="4" w:space="0"/>
          <w:right w:val="none" w:color="000000" w:sz="4" w:space="0"/>
        </w:pBdr>
        <w:spacing/>
        <w:ind w:right="0"/>
        <w:rPr/>
      </w:pPr>
      <w:r>
        <w:t xml:space="preserve">This step allowed identification of the most represented resources (Oil predominates) and regions (Europe &amp; Central Asia), guiding subsequent analysis.</w:t>
      </w:r>
      <w:r/>
    </w:p>
    <w:p w14:paraId="410E4DE8">
      <w:pPr>
        <w:pStyle w:val="949"/>
        <w:pBdr/>
        <w:spacing/>
        <w:ind/>
        <w:rPr/>
      </w:pPr>
      <w:r/>
      <w:bookmarkStart w:id="15" w:name="_Toc15"/>
      <w:r>
        <w:t xml:space="preserve">Data Filtering</w:t>
      </w:r>
      <w:r/>
      <w:bookmarkEnd w:id="15"/>
      <w:r/>
      <w:r/>
    </w:p>
    <w:p w14:paraId="7E4F8C5C">
      <w:pPr>
        <w:pStyle w:val="1010"/>
        <w:numPr>
          <w:ilvl w:val="0"/>
          <w:numId w:val="17"/>
        </w:numPr>
        <w:pBdr>
          <w:top w:val="none" w:color="000000" w:sz="4" w:space="0"/>
          <w:left w:val="none" w:color="000000" w:sz="4" w:space="0"/>
          <w:bottom w:val="none" w:color="000000" w:sz="4" w:space="0"/>
          <w:right w:val="none" w:color="000000" w:sz="4" w:space="0"/>
        </w:pBdr>
        <w:spacing/>
        <w:ind w:right="0"/>
        <w:rPr/>
      </w:pPr>
      <w:r>
        <w:t xml:space="preserve">Filtering was applied to focus on key resources (Oil, Gas, Coal, CO₂) and metrics (Production, Consumption, Emissions).</w:t>
      </w:r>
      <w:r/>
    </w:p>
    <w:p w14:paraId="1F09D427">
      <w:pPr>
        <w:pStyle w:val="1010"/>
        <w:numPr>
          <w:ilvl w:val="0"/>
          <w:numId w:val="17"/>
        </w:numPr>
        <w:pBdr>
          <w:top w:val="none" w:color="000000" w:sz="4" w:space="0"/>
          <w:left w:val="none" w:color="000000" w:sz="4" w:space="0"/>
          <w:bottom w:val="none" w:color="000000" w:sz="4" w:space="0"/>
          <w:right w:val="none" w:color="000000" w:sz="4" w:space="0"/>
        </w:pBdr>
        <w:spacing/>
        <w:ind w:right="0"/>
        <w:rPr/>
      </w:pPr>
      <w:r>
        <w:t xml:space="preserve">Filtering enabled analysis of resource-specific trends, country-level comparisons, and focused hypothesis testing.</w:t>
      </w:r>
      <w:r/>
    </w:p>
    <w:p w14:paraId="2B78018D">
      <w:pPr>
        <w:pStyle w:val="949"/>
        <w:pBdr/>
        <w:spacing/>
        <w:ind/>
        <w:rPr/>
      </w:pPr>
      <w:r/>
      <w:bookmarkStart w:id="16" w:name="_Toc16"/>
      <w:r>
        <w:t xml:space="preserve">Visualization of Categorical Data</w:t>
      </w:r>
      <w:r/>
      <w:bookmarkEnd w:id="16"/>
      <w:r/>
      <w:r/>
    </w:p>
    <w:p w14:paraId="2ADE5C9E">
      <w:pPr>
        <w:pStyle w:val="1010"/>
        <w:numPr>
          <w:ilvl w:val="0"/>
          <w:numId w:val="19"/>
        </w:numPr>
        <w:pBdr>
          <w:top w:val="none" w:color="000000" w:sz="4" w:space="0"/>
          <w:left w:val="none" w:color="000000" w:sz="4" w:space="0"/>
          <w:bottom w:val="none" w:color="000000" w:sz="4" w:space="0"/>
          <w:right w:val="none" w:color="000000" w:sz="4" w:space="0"/>
        </w:pBdr>
        <w:spacing/>
        <w:ind w:right="0"/>
        <w:rPr/>
      </w:pPr>
      <w:r>
        <w:t xml:space="preserve">Graphical methods, including bar charts, were used to analyze categorical distributions.</w:t>
      </w:r>
      <w:r/>
    </w:p>
    <w:p w14:paraId="1C9B3CA5">
      <w:pPr>
        <w:pStyle w:val="1010"/>
        <w:numPr>
          <w:ilvl w:val="0"/>
          <w:numId w:val="19"/>
        </w:numPr>
        <w:pBdr>
          <w:top w:val="none" w:color="000000" w:sz="4" w:space="0"/>
          <w:left w:val="none" w:color="000000" w:sz="4" w:space="0"/>
          <w:bottom w:val="none" w:color="000000" w:sz="4" w:space="0"/>
          <w:right w:val="none" w:color="000000" w:sz="4" w:space="0"/>
        </w:pBdr>
        <w:spacing/>
        <w:ind w:right="0"/>
        <w:rPr/>
      </w:pPr>
      <w:r>
        <w:t xml:space="preserve">This highlighted imbalances in data representation across resources and regions.</w:t>
      </w:r>
      <w:r/>
    </w:p>
    <w:p w14:paraId="01697638">
      <w:pPr>
        <w:pStyle w:val="949"/>
        <w:pBdr/>
        <w:spacing/>
        <w:ind/>
        <w:rPr/>
      </w:pPr>
      <w:r/>
      <w:bookmarkStart w:id="17" w:name="_Toc17"/>
      <w:r>
        <w:t xml:space="preserve">Correlation Analysis</w:t>
      </w:r>
      <w:r/>
      <w:bookmarkEnd w:id="17"/>
      <w:r/>
      <w:r/>
    </w:p>
    <w:p w14:paraId="3DA24034">
      <w:pPr>
        <w:pStyle w:val="1010"/>
        <w:numPr>
          <w:ilvl w:val="0"/>
          <w:numId w:val="21"/>
        </w:numPr>
        <w:pBdr>
          <w:top w:val="none" w:color="000000" w:sz="4" w:space="0"/>
          <w:left w:val="none" w:color="000000" w:sz="4" w:space="0"/>
          <w:bottom w:val="none" w:color="000000" w:sz="4" w:space="0"/>
          <w:right w:val="none" w:color="000000" w:sz="4" w:space="0"/>
        </w:pBdr>
        <w:spacing/>
        <w:ind w:right="0"/>
        <w:rPr/>
      </w:pPr>
      <w:r>
        <w:t xml:space="preserve">A correlation matrix was calculated for numerical features (e.g., production vs. consumption).</w:t>
      </w:r>
      <w:r/>
    </w:p>
    <w:p w14:paraId="06804B6A">
      <w:pPr>
        <w:pStyle w:val="1010"/>
        <w:numPr>
          <w:ilvl w:val="0"/>
          <w:numId w:val="21"/>
        </w:numPr>
        <w:pBdr>
          <w:top w:val="none" w:color="000000" w:sz="4" w:space="0"/>
          <w:left w:val="none" w:color="000000" w:sz="4" w:space="0"/>
          <w:bottom w:val="none" w:color="000000" w:sz="4" w:space="0"/>
          <w:right w:val="none" w:color="000000" w:sz="4" w:space="0"/>
        </w:pBdr>
        <w:spacing/>
        <w:ind w:right="0"/>
        <w:rPr/>
      </w:pPr>
      <w:r>
        <w:t xml:space="preserve">Results were visualized using a heatmap, allowing identification of strong and weak relationships between energy metrics.</w:t>
      </w:r>
      <w:r/>
    </w:p>
    <w:p w14:paraId="52B305B4">
      <w:pPr>
        <w:pStyle w:val="949"/>
        <w:pBdr/>
        <w:spacing/>
        <w:ind/>
        <w:rPr/>
      </w:pPr>
      <w:r/>
      <w:bookmarkStart w:id="18" w:name="_Toc18"/>
      <w:r>
        <w:t xml:space="preserve">Box Plots</w:t>
      </w:r>
      <w:r/>
      <w:bookmarkEnd w:id="18"/>
      <w:r/>
      <w:r/>
    </w:p>
    <w:p w14:paraId="5EAF1029">
      <w:pPr>
        <w:pStyle w:val="1010"/>
        <w:numPr>
          <w:ilvl w:val="0"/>
          <w:numId w:val="23"/>
        </w:numPr>
        <w:pBdr>
          <w:top w:val="none" w:color="000000" w:sz="4" w:space="0"/>
          <w:left w:val="none" w:color="000000" w:sz="4" w:space="0"/>
          <w:bottom w:val="none" w:color="000000" w:sz="4" w:space="0"/>
          <w:right w:val="none" w:color="000000" w:sz="4" w:space="0"/>
        </w:pBdr>
        <w:spacing/>
        <w:ind w:right="0"/>
        <w:rPr/>
      </w:pPr>
      <w:r>
        <w:t xml:space="preserve">Boxplots were constructed for numerical features to:</w:t>
      </w:r>
      <w:r/>
    </w:p>
    <w:p w14:paraId="0523E498">
      <w:pPr>
        <w:pStyle w:val="1010"/>
        <w:numPr>
          <w:ilvl w:val="1"/>
          <w:numId w:val="23"/>
        </w:numPr>
        <w:pBdr>
          <w:top w:val="none" w:color="000000" w:sz="4" w:space="0"/>
          <w:left w:val="none" w:color="000000" w:sz="4" w:space="0"/>
          <w:bottom w:val="none" w:color="000000" w:sz="4" w:space="0"/>
          <w:right w:val="none" w:color="000000" w:sz="4" w:space="0"/>
        </w:pBdr>
        <w:spacing/>
        <w:ind w:right="0"/>
        <w:rPr/>
      </w:pPr>
      <w:r>
        <w:t xml:space="preserve">assess distributions,</w:t>
      </w:r>
      <w:r/>
    </w:p>
    <w:p w14:paraId="708542C4">
      <w:pPr>
        <w:pStyle w:val="1010"/>
        <w:numPr>
          <w:ilvl w:val="1"/>
          <w:numId w:val="23"/>
        </w:numPr>
        <w:pBdr>
          <w:top w:val="none" w:color="000000" w:sz="4" w:space="0"/>
          <w:left w:val="none" w:color="000000" w:sz="4" w:space="0"/>
          <w:bottom w:val="none" w:color="000000" w:sz="4" w:space="0"/>
          <w:right w:val="none" w:color="000000" w:sz="4" w:space="0"/>
        </w:pBdr>
        <w:spacing/>
        <w:ind w:right="0"/>
        <w:rPr/>
      </w:pPr>
      <w:r>
        <w:t xml:space="preserve">detect outliers,</w:t>
      </w:r>
      <w:r/>
    </w:p>
    <w:p w14:paraId="6491A722">
      <w:pPr>
        <w:pStyle w:val="1010"/>
        <w:numPr>
          <w:ilvl w:val="1"/>
          <w:numId w:val="23"/>
        </w:numPr>
        <w:pBdr>
          <w:top w:val="none" w:color="000000" w:sz="4" w:space="0"/>
          <w:left w:val="none" w:color="000000" w:sz="4" w:space="0"/>
          <w:bottom w:val="none" w:color="000000" w:sz="4" w:space="0"/>
          <w:right w:val="none" w:color="000000" w:sz="4" w:space="0"/>
        </w:pBdr>
        <w:spacing/>
        <w:ind w:right="0"/>
        <w:rPr/>
      </w:pPr>
      <w:r>
        <w:t xml:space="preserve">compare values across regions and countries.</w:t>
      </w:r>
      <w:r/>
    </w:p>
    <w:p w14:paraId="29877C7B">
      <w:pPr>
        <w:pStyle w:val="949"/>
        <w:pBdr/>
        <w:spacing/>
        <w:ind/>
        <w:rPr/>
      </w:pPr>
      <w:r/>
      <w:bookmarkStart w:id="19" w:name="_Toc19"/>
      <w:r>
        <w:t xml:space="preserve">Histograms</w:t>
      </w:r>
      <w:r/>
      <w:bookmarkEnd w:id="19"/>
      <w:r/>
      <w:r/>
    </w:p>
    <w:p w14:paraId="2B09FFEA">
      <w:pPr>
        <w:pStyle w:val="1010"/>
        <w:numPr>
          <w:ilvl w:val="0"/>
          <w:numId w:val="25"/>
        </w:numPr>
        <w:pBdr>
          <w:top w:val="none" w:color="000000" w:sz="4" w:space="0"/>
          <w:left w:val="none" w:color="000000" w:sz="4" w:space="0"/>
          <w:bottom w:val="none" w:color="000000" w:sz="4" w:space="0"/>
          <w:right w:val="none" w:color="000000" w:sz="4" w:space="0"/>
        </w:pBdr>
        <w:spacing/>
        <w:ind w:right="0"/>
        <w:rPr/>
      </w:pPr>
      <w:r>
        <w:t xml:space="preserve">Histograms were created for resource metrics to assess distribution shapes.</w:t>
      </w:r>
      <w:r/>
    </w:p>
    <w:p w14:paraId="11FA7291">
      <w:pPr>
        <w:pStyle w:val="1010"/>
        <w:numPr>
          <w:ilvl w:val="0"/>
          <w:numId w:val="25"/>
        </w:numPr>
        <w:pBdr>
          <w:top w:val="none" w:color="000000" w:sz="4" w:space="0"/>
          <w:left w:val="none" w:color="000000" w:sz="4" w:space="0"/>
          <w:bottom w:val="none" w:color="000000" w:sz="4" w:space="0"/>
          <w:right w:val="none" w:color="000000" w:sz="4" w:space="0"/>
        </w:pBdr>
        <w:spacing/>
        <w:ind w:right="0"/>
        <w:rPr/>
      </w:pPr>
      <w:r>
        <w:t xml:space="preserve">Skewed distributions and extreme values informed the selection of statistical tests and outlier considerations.</w:t>
      </w:r>
      <w:r/>
    </w:p>
    <w:p w14:paraId="74887B2E">
      <w:pPr>
        <w:pStyle w:val="949"/>
        <w:pBdr/>
        <w:spacing/>
        <w:ind/>
        <w:rPr/>
      </w:pPr>
      <w:r/>
      <w:bookmarkStart w:id="20" w:name="_Toc20"/>
      <w:r>
        <w:t xml:space="preserve">Group Summaries</w:t>
      </w:r>
      <w:r/>
      <w:bookmarkEnd w:id="20"/>
      <w:r/>
      <w:r/>
    </w:p>
    <w:p w14:paraId="5AE52FA2">
      <w:pPr>
        <w:pStyle w:val="1010"/>
        <w:numPr>
          <w:ilvl w:val="0"/>
          <w:numId w:val="27"/>
        </w:numPr>
        <w:pBdr>
          <w:top w:val="none" w:color="000000" w:sz="4" w:space="0"/>
          <w:left w:val="none" w:color="000000" w:sz="4" w:space="0"/>
          <w:bottom w:val="none" w:color="000000" w:sz="4" w:space="0"/>
          <w:right w:val="none" w:color="000000" w:sz="4" w:space="0"/>
        </w:pBdr>
        <w:spacing/>
        <w:ind w:right="0"/>
        <w:rPr/>
      </w:pPr>
      <w:r>
        <w:t xml:space="preserve">Aggregated statistics were calculated by region, country, and resource.</w:t>
      </w:r>
      <w:r/>
    </w:p>
    <w:p w14:paraId="14B6C3D6">
      <w:pPr>
        <w:pStyle w:val="1010"/>
        <w:numPr>
          <w:ilvl w:val="0"/>
          <w:numId w:val="27"/>
        </w:numPr>
        <w:pBdr>
          <w:top w:val="none" w:color="000000" w:sz="4" w:space="0"/>
          <w:left w:val="none" w:color="000000" w:sz="4" w:space="0"/>
          <w:bottom w:val="none" w:color="000000" w:sz="4" w:space="0"/>
          <w:right w:val="none" w:color="000000" w:sz="4" w:space="0"/>
        </w:pBdr>
        <w:spacing/>
        <w:ind w:right="0"/>
        <w:rPr/>
      </w:pPr>
      <w:r>
        <w:t xml:space="preserve">This enabled comparison of energy characteristics between major global players (USA, China, Russia) and the rest of the world.</w:t>
      </w:r>
      <w:r/>
    </w:p>
    <w:p w14:paraId="33030E05">
      <w:pPr>
        <w:pStyle w:val="949"/>
        <w:pBdr/>
        <w:spacing/>
        <w:ind/>
        <w:rPr/>
      </w:pPr>
      <w:r/>
      <w:bookmarkStart w:id="21" w:name="_Toc21"/>
      <w:r>
        <w:t xml:space="preserve">Missing Value Analysis</w:t>
      </w:r>
      <w:r/>
      <w:bookmarkEnd w:id="21"/>
      <w:r/>
      <w:r/>
    </w:p>
    <w:p w14:paraId="64CCD1DF">
      <w:pPr>
        <w:pStyle w:val="1010"/>
        <w:numPr>
          <w:ilvl w:val="0"/>
          <w:numId w:val="29"/>
        </w:numPr>
        <w:pBdr>
          <w:top w:val="none" w:color="000000" w:sz="4" w:space="0"/>
          <w:left w:val="none" w:color="000000" w:sz="4" w:space="0"/>
          <w:bottom w:val="none" w:color="000000" w:sz="4" w:space="0"/>
          <w:right w:val="none" w:color="000000" w:sz="4" w:space="0"/>
        </w:pBdr>
        <w:spacing/>
        <w:ind w:right="0"/>
        <w:rPr/>
      </w:pPr>
      <w:r>
        <w:t xml:space="preserve">Missing values were identified and quantified.</w:t>
      </w:r>
      <w:r/>
    </w:p>
    <w:p w14:paraId="1DD0FA47">
      <w:pPr>
        <w:pStyle w:val="1010"/>
        <w:numPr>
          <w:ilvl w:val="0"/>
          <w:numId w:val="29"/>
        </w:numPr>
        <w:pBdr>
          <w:top w:val="none" w:color="000000" w:sz="4" w:space="0"/>
          <w:left w:val="none" w:color="000000" w:sz="4" w:space="0"/>
          <w:bottom w:val="none" w:color="000000" w:sz="4" w:space="0"/>
          <w:right w:val="none" w:color="000000" w:sz="4" w:space="0"/>
        </w:pBdr>
        <w:spacing/>
        <w:ind w:right="0"/>
        <w:rPr/>
      </w:pPr>
      <w:r>
        <w:t xml:space="preserve">Justified decisions were made to handle missing data, ensuring the correctness of subsequent statistical tests, visual analysis, and multivariate modeling.</w:t>
      </w:r>
      <w:r/>
    </w:p>
    <w:p w14:paraId="6E879D8A">
      <w:pPr>
        <w:pBdr/>
        <w:shd w:val="nil" w:color="auto"/>
        <w:spacing/>
        <w:ind/>
        <w:rPr>
          <w:rFonts w:ascii="Times New Roman" w:hAnsi="Times New Roman" w:cs="Times New Roman"/>
          <w:b/>
          <w:bCs/>
          <w:sz w:val="28"/>
          <w:szCs w:val="28"/>
        </w:rPr>
      </w:pPr>
      <w:r>
        <w:rPr>
          <w:rFonts w:ascii="Times New Roman" w:hAnsi="Times New Roman" w:cs="Times New Roman"/>
          <w:b/>
          <w:bCs/>
          <w:sz w:val="28"/>
          <w:szCs w:val="28"/>
          <w:highlight w:val="none"/>
        </w:rPr>
        <w:br w:type="page" w:clear="all"/>
      </w:r>
      <w:r>
        <w:rPr>
          <w:rFonts w:ascii="Times New Roman" w:hAnsi="Times New Roman" w:cs="Times New Roman"/>
          <w:b/>
          <w:bCs/>
          <w:sz w:val="28"/>
          <w:szCs w:val="28"/>
        </w:rPr>
      </w:r>
      <w:r>
        <w:rPr>
          <w:rFonts w:ascii="Times New Roman" w:hAnsi="Times New Roman" w:cs="Times New Roman"/>
          <w:b/>
          <w:bCs/>
          <w:sz w:val="28"/>
          <w:szCs w:val="28"/>
        </w:rPr>
      </w:r>
    </w:p>
    <w:p w14:paraId="4B6F82F8">
      <w:pPr>
        <w:pStyle w:val="947"/>
        <w:pBdr/>
        <w:spacing/>
        <w:ind/>
        <w:rPr>
          <w:rFonts w:ascii="Times New Roman" w:hAnsi="Times New Roman" w:cs="Times New Roman"/>
          <w:b/>
          <w:bCs/>
          <w:sz w:val="28"/>
          <w:szCs w:val="28"/>
          <w:highlight w:val="none"/>
        </w:rPr>
      </w:pPr>
      <w:r/>
      <w:bookmarkStart w:id="22" w:name="_Toc22"/>
      <w:r>
        <w:rPr>
          <w:rFonts w:ascii="Times New Roman" w:hAnsi="Times New Roman" w:cs="Times New Roman"/>
          <w:b/>
          <w:bCs/>
          <w:sz w:val="28"/>
          <w:szCs w:val="28"/>
        </w:rPr>
        <w:t xml:space="preserve">VISUAL DATA ANALYSIS</w:t>
      </w:r>
      <w:r>
        <w:rPr>
          <w:rFonts w:ascii="Times New Roman" w:hAnsi="Times New Roman" w:cs="Times New Roman"/>
          <w:b/>
          <w:bCs/>
          <w:sz w:val="28"/>
          <w:szCs w:val="28"/>
          <w:highlight w:val="none"/>
        </w:rPr>
      </w:r>
      <w:bookmarkEnd w:id="22"/>
      <w:r/>
      <w:r>
        <w:rPr>
          <w:rFonts w:ascii="Times New Roman" w:hAnsi="Times New Roman" w:cs="Times New Roman"/>
          <w:b/>
          <w:bCs/>
          <w:sz w:val="28"/>
          <w:szCs w:val="28"/>
          <w:highlight w:val="none"/>
        </w:rPr>
      </w:r>
    </w:p>
    <w:p w14:paraId="404B7791">
      <w:pPr>
        <w:pStyle w:val="949"/>
        <w:pBdr/>
        <w:spacing/>
        <w:ind/>
        <w:rPr>
          <w:highlight w:val="none"/>
          <w14:ligatures w14:val="none"/>
        </w:rPr>
      </w:pPr>
      <w:r/>
      <w:bookmarkStart w:id="23" w:name="_Toc23"/>
      <w:r>
        <w:rPr>
          <w:highlight w:val="none"/>
        </w:rPr>
        <w:t xml:space="preserve">Workflow</w:t>
      </w:r>
      <w:r>
        <w:rPr>
          <w:highlight w:val="none"/>
        </w:rPr>
      </w:r>
      <w:bookmarkEnd w:id="23"/>
      <w:r/>
      <w:r>
        <w:rPr>
          <w:highlight w:val="none"/>
        </w:rPr>
      </w:r>
    </w:p>
    <w:p w14:paraId="167E0F1D">
      <w:pPr>
        <w:pStyle w:val="950"/>
        <w:pBdr/>
        <w:spacing/>
        <w:ind/>
        <w:rPr>
          <w:highlight w:val="none"/>
          <w14:ligatures w14:val="none"/>
        </w:rPr>
      </w:pPr>
      <w:r/>
      <w:r>
        <w:rPr>
          <w:highlight w:val="none"/>
        </w:rPr>
        <w:t xml:space="preserve">Raw data </w:t>
      </w:r>
      <w:r>
        <w:rPr>
          <w:highlight w:val="none"/>
        </w:rPr>
        <w:t xml:space="preserve">preparation</w:t>
      </w:r>
      <w:r>
        <w:rPr>
          <w:highlight w:val="none"/>
        </w:rPr>
      </w:r>
      <w:r>
        <w:rPr>
          <w:highlight w:val="none"/>
        </w:rPr>
      </w:r>
    </w:p>
    <w:p w14:paraId="7A832C59">
      <w:pPr>
        <w:pStyle w:val="1010"/>
        <w:numPr>
          <w:ilvl w:val="0"/>
          <w:numId w:val="30"/>
        </w:numPr>
        <w:pBdr/>
        <w:spacing/>
        <w:ind/>
        <w:rPr/>
      </w:pPr>
      <w:r>
        <w:rPr>
          <w:highlight w:val="none"/>
        </w:rPr>
        <w:t xml:space="preserve">Added Our World in Data as a submodule</w:t>
      </w:r>
      <w:r/>
    </w:p>
    <w:p w14:paraId="3EE0EAA4">
      <w:pPr>
        <w:pStyle w:val="1010"/>
        <w:numPr>
          <w:ilvl w:val="0"/>
          <w:numId w:val="30"/>
        </w:numPr>
        <w:pBdr/>
        <w:spacing/>
        <w:ind/>
        <w:rPr/>
      </w:pPr>
      <w:r>
        <w:rPr>
          <w:highlight w:val="none"/>
        </w:rPr>
        <w:t xml:space="preserve">Added BP/Energy Institute — Statistical Review of World Energy</w:t>
      </w:r>
      <w:r/>
    </w:p>
    <w:p w14:paraId="4962491A">
      <w:pPr>
        <w:pStyle w:val="1010"/>
        <w:numPr>
          <w:ilvl w:val="0"/>
          <w:numId w:val="30"/>
        </w:numPr>
        <w:pBdr/>
        <w:spacing/>
        <w:ind/>
        <w:rPr/>
      </w:pPr>
      <w:r>
        <w:rPr>
          <w:highlight w:val="none"/>
        </w:rPr>
        <w:t xml:space="preserve">Added EIA (US Energy Information Administration):</w:t>
      </w:r>
      <w:r/>
    </w:p>
    <w:p w14:paraId="4DA41074">
      <w:pPr>
        <w:pStyle w:val="1010"/>
        <w:numPr>
          <w:ilvl w:val="1"/>
          <w:numId w:val="30"/>
        </w:numPr>
        <w:pBdr/>
        <w:spacing/>
        <w:ind/>
        <w:rPr/>
      </w:pPr>
      <w:r>
        <w:rPr>
          <w:highlight w:val="none"/>
        </w:rPr>
        <w:t xml:space="preserve">Coal and coke consumption and production</w:t>
      </w:r>
      <w:r/>
    </w:p>
    <w:p w14:paraId="2DE27352">
      <w:pPr>
        <w:pStyle w:val="1010"/>
        <w:numPr>
          <w:ilvl w:val="1"/>
          <w:numId w:val="30"/>
        </w:numPr>
        <w:pBdr/>
        <w:spacing/>
        <w:ind/>
        <w:rPr/>
      </w:pPr>
      <w:r>
        <w:rPr>
          <w:highlight w:val="none"/>
        </w:rPr>
        <w:t xml:space="preserve">Dry natural gas consumption and production</w:t>
      </w:r>
      <w:r/>
    </w:p>
    <w:p w14:paraId="22503684">
      <w:pPr>
        <w:pStyle w:val="1010"/>
        <w:numPr>
          <w:ilvl w:val="1"/>
          <w:numId w:val="30"/>
        </w:numPr>
        <w:pBdr/>
        <w:spacing/>
        <w:ind/>
        <w:rPr/>
      </w:pPr>
      <w:r>
        <w:rPr>
          <w:highlight w:val="none"/>
        </w:rPr>
        <w:t xml:space="preserve">Electricity consumption, capacity, and production</w:t>
      </w:r>
      <w:r/>
    </w:p>
    <w:p w14:paraId="792788ED">
      <w:pPr>
        <w:pStyle w:val="1010"/>
        <w:numPr>
          <w:ilvl w:val="1"/>
          <w:numId w:val="30"/>
        </w:numPr>
        <w:pBdr/>
        <w:spacing/>
        <w:ind/>
        <w:rPr/>
      </w:pPr>
      <w:r>
        <w:rPr>
          <w:highlight w:val="none"/>
        </w:rPr>
        <w:t xml:space="preserve">Emissions by fuel type</w:t>
      </w:r>
      <w:r/>
    </w:p>
    <w:p w14:paraId="175EB698">
      <w:pPr>
        <w:pStyle w:val="1010"/>
        <w:numPr>
          <w:ilvl w:val="1"/>
          <w:numId w:val="30"/>
        </w:numPr>
        <w:pBdr/>
        <w:spacing/>
        <w:ind/>
        <w:rPr/>
      </w:pPr>
      <w:r>
        <w:rPr>
          <w:highlight w:val="none"/>
        </w:rPr>
        <w:t xml:space="preserve">Total energy consumption and production</w:t>
      </w:r>
      <w:r/>
    </w:p>
    <w:p w14:paraId="7BA62B2B">
      <w:pPr>
        <w:pStyle w:val="950"/>
        <w:pBdr/>
        <w:spacing/>
        <w:ind/>
        <w:rPr/>
      </w:pPr>
      <w:r/>
      <w:r>
        <w:rPr>
          <w:highlight w:val="none"/>
        </w:rPr>
        <w:t xml:space="preserve">Data standardization</w:t>
      </w:r>
      <w:r/>
      <w:r/>
    </w:p>
    <w:p w14:paraId="154455F3">
      <w:pPr>
        <w:pBdr/>
        <w:spacing/>
        <w:ind/>
        <w:rPr/>
      </w:pPr>
      <w:r>
        <w:rPr>
          <w:highlight w:val="none"/>
        </w:rPr>
        <w:t xml:space="preserve">Table structure:</w:t>
      </w:r>
      <w:r/>
    </w:p>
    <w:p w14:paraId="431F7C5B">
      <w:pPr>
        <w:pStyle w:val="1010"/>
        <w:numPr>
          <w:ilvl w:val="0"/>
          <w:numId w:val="31"/>
        </w:numPr>
        <w:pBdr/>
        <w:spacing/>
        <w:ind/>
        <w:rPr/>
      </w:pPr>
      <w:r>
        <w:rPr>
          <w:highlight w:val="none"/>
        </w:rPr>
        <w:t xml:space="preserve">country – country</w:t>
      </w:r>
      <w:r/>
    </w:p>
    <w:p w14:paraId="0F0683B2">
      <w:pPr>
        <w:pStyle w:val="1010"/>
        <w:numPr>
          <w:ilvl w:val="0"/>
          <w:numId w:val="31"/>
        </w:numPr>
        <w:pBdr/>
        <w:spacing/>
        <w:ind/>
        <w:rPr/>
      </w:pPr>
      <w:r>
        <w:rPr>
          <w:highlight w:val="none"/>
        </w:rPr>
        <w:t xml:space="preserve">iso_code – ISO-3 code</w:t>
      </w:r>
      <w:r/>
    </w:p>
    <w:p w14:paraId="319804FB">
      <w:pPr>
        <w:pStyle w:val="1010"/>
        <w:numPr>
          <w:ilvl w:val="0"/>
          <w:numId w:val="31"/>
        </w:numPr>
        <w:pBdr/>
        <w:spacing/>
        <w:ind/>
        <w:rPr/>
      </w:pPr>
      <w:r>
        <w:rPr>
          <w:highlight w:val="none"/>
        </w:rPr>
        <w:t xml:space="preserve">region – region</w:t>
      </w:r>
      <w:r/>
    </w:p>
    <w:p w14:paraId="3B38C60B">
      <w:pPr>
        <w:pStyle w:val="1010"/>
        <w:numPr>
          <w:ilvl w:val="0"/>
          <w:numId w:val="31"/>
        </w:numPr>
        <w:pBdr/>
        <w:spacing/>
        <w:ind/>
        <w:rPr/>
      </w:pPr>
      <w:r>
        <w:rPr>
          <w:highlight w:val="none"/>
        </w:rPr>
        <w:t xml:space="preserve">year – year</w:t>
      </w:r>
      <w:r/>
    </w:p>
    <w:p w14:paraId="6F61B7CB">
      <w:pPr>
        <w:pStyle w:val="1010"/>
        <w:numPr>
          <w:ilvl w:val="0"/>
          <w:numId w:val="31"/>
        </w:numPr>
        <w:pBdr/>
        <w:spacing/>
        <w:ind/>
        <w:rPr/>
      </w:pPr>
      <w:r>
        <w:rPr>
          <w:highlight w:val="none"/>
        </w:rPr>
        <w:t xml:space="preserve">resource – Oil | Gas | Coal | Electricity | Energy | CO2</w:t>
      </w:r>
      <w:r/>
    </w:p>
    <w:p w14:paraId="0208F6AC">
      <w:pPr>
        <w:pStyle w:val="1010"/>
        <w:numPr>
          <w:ilvl w:val="0"/>
          <w:numId w:val="31"/>
        </w:numPr>
        <w:pBdr/>
        <w:spacing/>
        <w:ind/>
        <w:rPr/>
      </w:pPr>
      <w:r>
        <w:rPr>
          <w:highlight w:val="none"/>
        </w:rPr>
        <w:t xml:space="preserve">metric – Consumption | Production | Reserves | Capacity | Emissions</w:t>
      </w:r>
      <w:r/>
    </w:p>
    <w:p w14:paraId="121CC8FE">
      <w:pPr>
        <w:pStyle w:val="1010"/>
        <w:numPr>
          <w:ilvl w:val="0"/>
          <w:numId w:val="31"/>
        </w:numPr>
        <w:pBdr/>
        <w:spacing/>
        <w:ind/>
        <w:rPr/>
      </w:pPr>
      <w:r>
        <w:rPr>
          <w:highlight w:val="none"/>
        </w:rPr>
        <w:t xml:space="preserve">value – numerical value</w:t>
      </w:r>
      <w:r/>
    </w:p>
    <w:p w14:paraId="14726A08">
      <w:pPr>
        <w:pStyle w:val="1010"/>
        <w:numPr>
          <w:ilvl w:val="0"/>
          <w:numId w:val="31"/>
        </w:numPr>
        <w:pBdr/>
        <w:spacing/>
        <w:ind/>
        <w:rPr/>
      </w:pPr>
      <w:r>
        <w:rPr>
          <w:highlight w:val="none"/>
        </w:rPr>
        <w:t xml:space="preserve">unit – unit of measurement</w:t>
      </w:r>
      <w:r/>
    </w:p>
    <w:p w14:paraId="7147F6EE">
      <w:pPr>
        <w:pStyle w:val="1010"/>
        <w:numPr>
          <w:ilvl w:val="0"/>
          <w:numId w:val="31"/>
        </w:numPr>
        <w:pBdr/>
        <w:spacing/>
        <w:ind/>
        <w:rPr/>
      </w:pPr>
      <w:r>
        <w:rPr>
          <w:highlight w:val="none"/>
        </w:rPr>
        <w:t xml:space="preserve">source – OWID | BP | EIA</w:t>
      </w:r>
      <w:r/>
    </w:p>
    <w:p w14:paraId="3FE21A5F">
      <w:pPr>
        <w:pStyle w:val="950"/>
        <w:pBdr/>
        <w:spacing/>
        <w:ind/>
        <w:rPr>
          <w:highlight w:val="none"/>
        </w:rPr>
      </w:pPr>
      <w:r/>
      <w:r>
        <w:rPr>
          <w:highlight w:val="none"/>
        </w:rPr>
        <w:t xml:space="preserve">Rejection of EIA</w:t>
      </w:r>
      <w:r>
        <w:rPr>
          <w:highlight w:val="none"/>
        </w:rPr>
      </w:r>
      <w:r>
        <w:rPr>
          <w:highlight w:val="none"/>
        </w:rPr>
      </w:r>
      <w:r>
        <w:rPr>
          <w:highlight w:val="none"/>
        </w:rPr>
      </w:r>
    </w:p>
    <w:p w14:paraId="00F0C31F">
      <w:pPr>
        <w:pBdr/>
        <w:spacing/>
        <w:ind/>
        <w:rPr>
          <w:highlight w:val="none"/>
        </w:rPr>
      </w:pPr>
      <w:r>
        <w:rPr>
          <w:highlight w:val="none"/>
        </w:rPr>
      </w:r>
      <w:r>
        <w:rPr>
          <w:highlight w:val="none"/>
        </w:rPr>
        <w:t xml:space="preserve">During the normalization of datasets, I noticed that EIA datasets are mostly empty and do not contain particularly important information, so it was decided to reject this dataset.</w:t>
      </w:r>
      <w:r>
        <w:rPr>
          <w:highlight w:val="none"/>
        </w:rPr>
      </w:r>
      <w:r>
        <w:rPr>
          <w:highlight w:val="none"/>
        </w:rPr>
      </w:r>
    </w:p>
    <w:p w14:paraId="4D9355E5">
      <w:pPr>
        <w:pStyle w:val="950"/>
        <w:pBdr/>
        <w:spacing/>
        <w:ind/>
        <w:rPr/>
      </w:pPr>
      <w:r/>
      <w:r>
        <w:rPr>
          <w:highlight w:val="none"/>
        </w:rPr>
        <w:t xml:space="preserve">New unified table in progress</w:t>
      </w:r>
      <w:r/>
      <w:r/>
    </w:p>
    <w:p w14:paraId="6F340744">
      <w:pPr>
        <w:pBdr/>
        <w:spacing/>
        <w:ind/>
        <w:rPr/>
      </w:pPr>
      <w:r>
        <w:rPr>
          <w:highlight w:val="none"/>
        </w:rPr>
        <w:t xml:space="preserve">Table structure:</w:t>
      </w:r>
      <w:r/>
    </w:p>
    <w:p w14:paraId="121C1D61">
      <w:pPr>
        <w:pStyle w:val="1010"/>
        <w:numPr>
          <w:ilvl w:val="0"/>
          <w:numId w:val="32"/>
        </w:numPr>
        <w:pBdr/>
        <w:spacing/>
        <w:ind/>
        <w:rPr/>
      </w:pPr>
      <w:r>
        <w:rPr>
          <w:highlight w:val="none"/>
        </w:rPr>
        <w:t xml:space="preserve">country – country</w:t>
      </w:r>
      <w:r/>
    </w:p>
    <w:p w14:paraId="0673EBF6">
      <w:pPr>
        <w:pStyle w:val="1010"/>
        <w:numPr>
          <w:ilvl w:val="0"/>
          <w:numId w:val="32"/>
        </w:numPr>
        <w:pBdr/>
        <w:spacing/>
        <w:ind/>
        <w:rPr/>
      </w:pPr>
      <w:r>
        <w:rPr>
          <w:highlight w:val="none"/>
        </w:rPr>
        <w:t xml:space="preserve">iso_code – ISO-3 code</w:t>
      </w:r>
      <w:r/>
    </w:p>
    <w:p w14:paraId="3E12F854">
      <w:pPr>
        <w:pStyle w:val="1010"/>
        <w:numPr>
          <w:ilvl w:val="0"/>
          <w:numId w:val="32"/>
        </w:numPr>
        <w:pBdr/>
        <w:spacing/>
        <w:ind/>
        <w:rPr/>
      </w:pPr>
      <w:r>
        <w:rPr>
          <w:highlight w:val="none"/>
        </w:rPr>
        <w:t xml:space="preserve">region – region</w:t>
      </w:r>
      <w:r/>
    </w:p>
    <w:p w14:paraId="0516347A">
      <w:pPr>
        <w:pStyle w:val="1010"/>
        <w:numPr>
          <w:ilvl w:val="0"/>
          <w:numId w:val="32"/>
        </w:numPr>
        <w:pBdr/>
        <w:spacing/>
        <w:ind/>
        <w:rPr/>
      </w:pPr>
      <w:r>
        <w:rPr>
          <w:highlight w:val="none"/>
        </w:rPr>
        <w:t xml:space="preserve">year – year</w:t>
      </w:r>
      <w:r/>
    </w:p>
    <w:p w14:paraId="046CCB7E">
      <w:pPr>
        <w:pStyle w:val="1010"/>
        <w:numPr>
          <w:ilvl w:val="0"/>
          <w:numId w:val="32"/>
        </w:numPr>
        <w:pBdr/>
        <w:spacing/>
        <w:ind/>
        <w:rPr/>
      </w:pPr>
      <w:r>
        <w:rPr>
          <w:highlight w:val="none"/>
        </w:rPr>
        <w:t xml:space="preserve">resource – Oil | Gas | Coal | Electricity | Energy | CO2</w:t>
      </w:r>
      <w:r/>
    </w:p>
    <w:p w14:paraId="6BC9E1D5">
      <w:pPr>
        <w:pStyle w:val="1010"/>
        <w:numPr>
          <w:ilvl w:val="0"/>
          <w:numId w:val="32"/>
        </w:numPr>
        <w:pBdr/>
        <w:spacing/>
        <w:ind/>
        <w:rPr/>
      </w:pPr>
      <w:r>
        <w:rPr>
          <w:highlight w:val="none"/>
        </w:rPr>
        <w:t xml:space="preserve">metric – Consumption | Production | Reserves | Emissions</w:t>
      </w:r>
      <w:r/>
    </w:p>
    <w:p w14:paraId="7526B535">
      <w:pPr>
        <w:pStyle w:val="1010"/>
        <w:numPr>
          <w:ilvl w:val="0"/>
          <w:numId w:val="32"/>
        </w:numPr>
        <w:pBdr/>
        <w:spacing/>
        <w:ind/>
        <w:rPr/>
      </w:pPr>
      <w:r>
        <w:rPr>
          <w:highlight w:val="none"/>
        </w:rPr>
        <w:t xml:space="preserve">value – numerical value</w:t>
      </w:r>
      <w:r/>
    </w:p>
    <w:p w14:paraId="55A7D196">
      <w:pPr>
        <w:pStyle w:val="1010"/>
        <w:numPr>
          <w:ilvl w:val="0"/>
          <w:numId w:val="32"/>
        </w:numPr>
        <w:pBdr/>
        <w:spacing/>
        <w:ind/>
        <w:rPr/>
      </w:pPr>
      <w:r>
        <w:rPr>
          <w:highlight w:val="none"/>
        </w:rPr>
        <w:t xml:space="preserve">unit – unit of measurement</w:t>
      </w:r>
      <w:r/>
    </w:p>
    <w:p w14:paraId="3F1D193F">
      <w:pPr>
        <w:pStyle w:val="1010"/>
        <w:numPr>
          <w:ilvl w:val="0"/>
          <w:numId w:val="32"/>
        </w:numPr>
        <w:pBdr/>
        <w:spacing/>
        <w:ind/>
        <w:rPr/>
      </w:pPr>
      <w:r>
        <w:rPr>
          <w:highlight w:val="none"/>
        </w:rPr>
        <w:t xml:space="preserve">source – OWID | BP</w:t>
      </w:r>
      <w:r/>
    </w:p>
    <w:p w14:paraId="1C794FED">
      <w:pPr>
        <w:pStyle w:val="950"/>
        <w:pBdr/>
        <w:spacing/>
        <w:ind/>
        <w:rPr/>
      </w:pPr>
      <w:r/>
      <w:r>
        <w:rPr>
          <w:highlight w:val="none"/>
        </w:rPr>
        <w:t xml:space="preserve">Progress in cleaning and standardizing energy data</w:t>
      </w:r>
      <w:r/>
      <w:r/>
    </w:p>
    <w:p w14:paraId="61C1E085">
      <w:pPr>
        <w:pBdr/>
        <w:spacing/>
        <w:ind/>
        <w:rPr>
          <w:highlight w:val="none"/>
        </w:rPr>
      </w:pPr>
      <w:r>
        <w:rPr>
          <w:highlight w:val="none"/>
        </w:rPr>
      </w:r>
      <w:r>
        <w:rPr>
          <w:highlight w:val="none"/>
        </w:rPr>
        <w:t xml:space="preserve">During the project, source information was collected from two main sources: Our World in Data (OWID) and BP Energy Institute. To standardize the data, a table structure was developed, including the following columns:</w:t>
      </w:r>
      <w:r>
        <w:rPr>
          <w:highlight w:val="none"/>
        </w:rPr>
      </w:r>
      <w:r>
        <w:rPr>
          <w:highlight w:val="none"/>
        </w:rPr>
      </w:r>
    </w:p>
    <w:p w14:paraId="4339937D">
      <w:pPr>
        <w:pStyle w:val="985"/>
        <w:pBdr/>
        <w:spacing/>
        <w:ind/>
        <w:rPr>
          <w:highlight w:val="none"/>
          <w14:ligatures w14:val="none"/>
        </w:rPr>
      </w:pPr>
      <w:r>
        <w:rPr>
          <w:highlight w:val="none"/>
        </w:rPr>
      </w:r>
      <w:r>
        <w:rPr>
          <w:highlight w:val="none"/>
        </w:rPr>
        <w:t xml:space="preserve">country, iso_code, region, year, resource</w:t>
      </w:r>
      <w:r>
        <w:rPr>
          <w:highlight w:val="none"/>
        </w:rPr>
      </w:r>
      <w:r>
        <w:rPr>
          <w:highlight w:val="none"/>
          <w14:ligatures w14:val="none"/>
        </w:rPr>
      </w:r>
    </w:p>
    <w:p w14:paraId="58CC6511">
      <w:pPr>
        <w:pBdr/>
        <w:shd w:val="nil" w:color="auto"/>
        <w:spacing/>
        <w:ind/>
        <w:rPr>
          <w:highlight w:val="none"/>
          <w:lang w:val="ru-RU"/>
        </w:rPr>
      </w:pPr>
      <w:r>
        <w:rPr>
          <w:highlight w:val="none"/>
          <w:lang w:val="ru-RU"/>
        </w:rPr>
        <w:br w:type="page" w:clear="all"/>
      </w:r>
      <w:r>
        <w:rPr>
          <w:highlight w:val="none"/>
          <w:lang w:val="ru-RU"/>
        </w:rPr>
      </w:r>
      <w:r>
        <w:rPr>
          <w:highlight w:val="none"/>
          <w:lang w:val="ru-RU"/>
        </w:rPr>
      </w:r>
    </w:p>
    <w:p w14:paraId="402010C5">
      <w:pPr>
        <w:pStyle w:val="949"/>
        <w:pBdr/>
        <w:spacing/>
        <w:ind/>
        <w:rPr>
          <w:highlight w:val="none"/>
          <w:lang w:val="ru-RU"/>
        </w:rPr>
      </w:pPr>
      <w:r/>
      <w:bookmarkStart w:id="24" w:name="_Toc24"/>
      <w:r>
        <w:rPr>
          <w:highlight w:val="none"/>
          <w:lang w:val="ru-RU"/>
        </w:rPr>
        <w:t xml:space="preserve">Analytical report on the energy consumption dataset</w:t>
      </w:r>
      <w:r>
        <w:rPr>
          <w:highlight w:val="none"/>
          <w:lang w:val="ru-RU"/>
        </w:rPr>
      </w:r>
      <w:bookmarkEnd w:id="24"/>
      <w:r/>
      <w:r>
        <w:rPr>
          <w:highlight w:val="none"/>
          <w:lang w:val="ru-RU"/>
        </w:rPr>
      </w:r>
    </w:p>
    <w:p w14:paraId="5279F9A2">
      <w:pPr>
        <w:pStyle w:val="950"/>
        <w:pBdr/>
        <w:spacing/>
        <w:ind/>
        <w:rPr>
          <w:lang w:val="ru-RU"/>
        </w:rPr>
      </w:pPr>
      <w:r/>
      <w:r>
        <w:rPr>
          <w:highlight w:val="none"/>
          <w:lang w:val="ru-RU" w:bidi="ru-RU"/>
        </w:rPr>
        <w:t xml:space="preserve">General information</w:t>
      </w:r>
      <w:r>
        <w:rPr>
          <w:lang w:val="ru-RU"/>
        </w:rPr>
      </w:r>
      <w:r>
        <w:rPr>
          <w:lang w:val="ru-RU"/>
        </w:rPr>
      </w:r>
      <w:r>
        <w:rPr>
          <w:lang w:val="ru-RU"/>
        </w:rPr>
      </w:r>
    </w:p>
    <w:p w14:paraId="3BFE0953">
      <w:pPr>
        <w:pStyle w:val="1010"/>
        <w:numPr>
          <w:ilvl w:val="0"/>
          <w:numId w:val="33"/>
        </w:numPr>
        <w:pBdr/>
        <w:spacing/>
        <w:ind/>
        <w:rPr/>
      </w:pPr>
      <w:r>
        <w:rPr>
          <w:highlight w:val="none"/>
          <w:lang w:val="ru-RU" w:bidi="ru-RU"/>
        </w:rPr>
        <w:t xml:space="preserve">The dataset contains 80,639 observations and 11 columns.</w:t>
      </w:r>
      <w:r/>
    </w:p>
    <w:p w14:paraId="21C81890">
      <w:pPr>
        <w:pStyle w:val="1010"/>
        <w:numPr>
          <w:ilvl w:val="0"/>
          <w:numId w:val="33"/>
        </w:numPr>
        <w:pBdr/>
        <w:spacing/>
        <w:ind/>
        <w:rPr/>
      </w:pPr>
      <w:r>
        <w:rPr>
          <w:highlight w:val="none"/>
          <w:lang w:val="ru-RU" w:bidi="ru-RU"/>
        </w:rPr>
        <w:t xml:space="preserve">There are missing values in iso_code (≈466–20,137) and region (466), the rest of the columns are filled in.</w:t>
      </w:r>
      <w:r/>
    </w:p>
    <w:p w14:paraId="3AD51641">
      <w:pPr>
        <w:pStyle w:val="1010"/>
        <w:numPr>
          <w:ilvl w:val="0"/>
          <w:numId w:val="33"/>
        </w:numPr>
        <w:pBdr/>
        <w:spacing/>
        <w:ind/>
        <w:rPr/>
      </w:pPr>
      <w:r>
        <w:rPr>
          <w:highlight w:val="none"/>
          <w:lang w:val="ru-RU" w:bidi="ru-RU"/>
        </w:rPr>
        <w:t xml:space="preserve">There are duplicates: 20,811 rows. It is worth checking that these are not repeated measurements for the same country, resource, metric, and year.</w:t>
      </w:r>
      <w:r/>
    </w:p>
    <w:p w14:paraId="64AE2BFF">
      <w:pPr>
        <w:pStyle w:val="1010"/>
        <w:numPr>
          <w:ilvl w:val="0"/>
          <w:numId w:val="33"/>
        </w:numPr>
        <w:pBdr/>
        <w:spacing/>
        <w:ind/>
        <w:rPr>
          <w:lang w:val="ru-RU"/>
        </w:rPr>
      </w:pPr>
      <w:r>
        <w:rPr>
          <w:highlight w:val="none"/>
          <w:lang w:val="ru-RU" w:bidi="ru-RU"/>
        </w:rPr>
        <w:t xml:space="preserve">Negative values in value: 168. These may be measurement errors or data corrections (e.g., consumption/production rollbacks).</w:t>
      </w:r>
      <w:r>
        <w:rPr>
          <w:lang w:val="ru-RU"/>
        </w:rPr>
      </w:r>
      <w:r>
        <w:rPr>
          <w:lang w:val="ru-RU"/>
        </w:rPr>
      </w:r>
    </w:p>
    <w:p w14:paraId="636EDB7A">
      <w:pPr>
        <w:pStyle w:val="950"/>
        <w:pBdr/>
        <w:spacing/>
        <w:ind/>
        <w:rPr>
          <w:lang w:val="ru-RU"/>
        </w:rPr>
      </w:pPr>
      <w:r/>
      <w:r>
        <w:rPr>
          <w:highlight w:val="none"/>
          <w:lang w:val="ru-RU" w:bidi="ru-RU"/>
        </w:rPr>
        <w:t xml:space="preserve">Resources and metrics</w:t>
      </w:r>
      <w:r>
        <w:rPr>
          <w:lang w:val="ru-RU"/>
        </w:rPr>
      </w:r>
      <w:r>
        <w:rPr>
          <w:lang w:val="ru-RU"/>
        </w:rPr>
      </w:r>
      <w:r>
        <w:rPr>
          <w:lang w:val="ru-RU"/>
        </w:rPr>
      </w:r>
    </w:p>
    <w:p w14:paraId="047F9E07">
      <w:pPr>
        <w:pStyle w:val="1010"/>
        <w:numPr>
          <w:ilvl w:val="0"/>
          <w:numId w:val="34"/>
        </w:numPr>
        <w:pBdr/>
        <w:spacing/>
        <w:ind/>
        <w:rPr/>
      </w:pPr>
      <w:r>
        <w:rPr>
          <w:highlight w:val="none"/>
          <w:lang w:val="ru-RU" w:bidi="ru-RU"/>
        </w:rPr>
        <w:t xml:space="preserve">Four resources are used: Oil, Gas, Coal, CO2.</w:t>
      </w:r>
      <w:r/>
    </w:p>
    <w:p w14:paraId="2A68DC9A">
      <w:pPr>
        <w:pStyle w:val="1010"/>
        <w:numPr>
          <w:ilvl w:val="0"/>
          <w:numId w:val="34"/>
        </w:numPr>
        <w:pBdr/>
        <w:spacing/>
        <w:ind/>
        <w:rPr/>
      </w:pPr>
      <w:r>
        <w:rPr>
          <w:highlight w:val="none"/>
          <w:lang w:val="ru-RU" w:bidi="ru-RU"/>
        </w:rPr>
        <w:t xml:space="preserve">Metrics: Production, Consumption, Emissions.</w:t>
      </w:r>
      <w:r/>
    </w:p>
    <w:p w14:paraId="3013A63C">
      <w:pPr>
        <w:pStyle w:val="1010"/>
        <w:numPr>
          <w:ilvl w:val="0"/>
          <w:numId w:val="34"/>
        </w:numPr>
        <w:pBdr/>
        <w:spacing/>
        <w:ind/>
        <w:rPr/>
      </w:pPr>
      <w:r>
        <w:rPr>
          <w:highlight w:val="none"/>
          <w:lang w:val="ru-RU" w:bidi="ru-RU"/>
        </w:rPr>
        <w:t xml:space="preserve">By number of observations:</w:t>
      </w:r>
      <w:r/>
    </w:p>
    <w:p w14:paraId="3DF2774F">
      <w:pPr>
        <w:pStyle w:val="1010"/>
        <w:numPr>
          <w:ilvl w:val="1"/>
          <w:numId w:val="34"/>
        </w:numPr>
        <w:pBdr/>
        <w:spacing/>
        <w:ind/>
        <w:rPr/>
      </w:pPr>
      <w:r>
        <w:rPr>
          <w:highlight w:val="none"/>
          <w:lang w:val="ru-RU" w:bidi="ru-RU"/>
        </w:rPr>
        <w:t xml:space="preserve">Production — 47,406 rows (≈59%),</w:t>
      </w:r>
      <w:r/>
    </w:p>
    <w:p w14:paraId="02B2C11E">
      <w:pPr>
        <w:pStyle w:val="1010"/>
        <w:numPr>
          <w:ilvl w:val="1"/>
          <w:numId w:val="34"/>
        </w:numPr>
        <w:pBdr/>
        <w:spacing/>
        <w:ind/>
        <w:rPr/>
      </w:pPr>
      <w:r>
        <w:rPr>
          <w:highlight w:val="none"/>
          <w:lang w:val="ru-RU" w:bidi="ru-RU"/>
        </w:rPr>
        <w:t xml:space="preserve">Consumption — 28,083 rows (≈35%),</w:t>
      </w:r>
      <w:r/>
    </w:p>
    <w:p w14:paraId="4ABC93EB">
      <w:pPr>
        <w:pStyle w:val="1010"/>
        <w:numPr>
          <w:ilvl w:val="1"/>
          <w:numId w:val="34"/>
        </w:numPr>
        <w:pBdr/>
        <w:spacing/>
        <w:ind/>
        <w:rPr/>
      </w:pPr>
      <w:r>
        <w:rPr>
          <w:highlight w:val="none"/>
          <w:lang w:val="ru-RU" w:bidi="ru-RU"/>
        </w:rPr>
        <w:t xml:space="preserve">Emissions — 5,150 rows (≈6%).</w:t>
      </w:r>
      <w:r/>
    </w:p>
    <w:p w14:paraId="4BD87807">
      <w:pPr>
        <w:pStyle w:val="1010"/>
        <w:numPr>
          <w:ilvl w:val="0"/>
          <w:numId w:val="34"/>
        </w:numPr>
        <w:pBdr/>
        <w:spacing/>
        <w:ind/>
        <w:rPr>
          <w:lang w:val="ru-RU"/>
        </w:rPr>
      </w:pPr>
      <w:r>
        <w:rPr>
          <w:highlight w:val="none"/>
          <w:lang w:val="ru-RU" w:bidi="ru-RU"/>
        </w:rPr>
        <w:t xml:space="preserve">The resource with the highest number of observations is Oil (26,214 rows), and the lowest is CO2 (5,150).</w:t>
      </w:r>
      <w:r>
        <w:rPr>
          <w:lang w:val="ru-RU"/>
        </w:rPr>
      </w:r>
      <w:r>
        <w:rPr>
          <w:lang w:val="ru-RU"/>
        </w:rPr>
      </w:r>
    </w:p>
    <w:p w14:paraId="4776838C">
      <w:pPr>
        <w:pStyle w:val="950"/>
        <w:pBdr/>
        <w:spacing/>
        <w:ind/>
        <w:rPr>
          <w:lang w:val="ru-RU"/>
        </w:rPr>
      </w:pPr>
      <w:r/>
      <w:r>
        <w:rPr>
          <w:highlight w:val="none"/>
          <w:lang w:val="ru-RU" w:bidi="ru-RU"/>
        </w:rPr>
        <w:t xml:space="preserve">Geography and regions</w:t>
      </w:r>
      <w:r>
        <w:rPr>
          <w:lang w:val="ru-RU"/>
        </w:rPr>
      </w:r>
      <w:r>
        <w:rPr>
          <w:lang w:val="ru-RU"/>
        </w:rPr>
      </w:r>
      <w:r>
        <w:rPr>
          <w:lang w:val="ru-RU"/>
        </w:rPr>
      </w:r>
    </w:p>
    <w:p w14:paraId="7442B8F1">
      <w:pPr>
        <w:pStyle w:val="1010"/>
        <w:numPr>
          <w:ilvl w:val="0"/>
          <w:numId w:val="35"/>
        </w:numPr>
        <w:pBdr/>
        <w:spacing/>
        <w:ind/>
        <w:rPr/>
      </w:pPr>
      <w:r>
        <w:rPr>
          <w:highlight w:val="none"/>
          <w:lang w:val="ru-RU" w:bidi="ru-RU"/>
        </w:rPr>
        <w:t xml:space="preserve">Data covers 217 countries, including regional aggregations.</w:t>
      </w:r>
      <w:r/>
    </w:p>
    <w:p w14:paraId="60E626A7">
      <w:pPr>
        <w:pStyle w:val="1010"/>
        <w:numPr>
          <w:ilvl w:val="0"/>
          <w:numId w:val="35"/>
        </w:numPr>
        <w:pBdr/>
        <w:spacing/>
        <w:ind/>
        <w:rPr/>
      </w:pPr>
      <w:r>
        <w:rPr>
          <w:highlight w:val="none"/>
          <w:lang w:val="ru-RU" w:bidi="ru-RU"/>
        </w:rPr>
        <w:t xml:space="preserve">Main regions:</w:t>
      </w:r>
      <w:r/>
    </w:p>
    <w:p w14:paraId="41EC96AA">
      <w:pPr>
        <w:pStyle w:val="1010"/>
        <w:numPr>
          <w:ilvl w:val="1"/>
          <w:numId w:val="35"/>
        </w:numPr>
        <w:pBdr/>
        <w:spacing/>
        <w:ind/>
        <w:rPr/>
      </w:pPr>
      <w:r>
        <w:rPr>
          <w:highlight w:val="none"/>
          <w:lang w:val="ru-RU" w:bidi="ru-RU"/>
        </w:rPr>
        <w:t xml:space="preserve">Europe &amp; Central Asia — 26,803 observations</w:t>
      </w:r>
      <w:r/>
    </w:p>
    <w:p w14:paraId="71A392A1">
      <w:pPr>
        <w:pStyle w:val="1010"/>
        <w:numPr>
          <w:ilvl w:val="1"/>
          <w:numId w:val="35"/>
        </w:numPr>
        <w:pBdr/>
        <w:spacing/>
        <w:ind/>
        <w:rPr/>
      </w:pPr>
      <w:r>
        <w:rPr>
          <w:highlight w:val="none"/>
          <w:lang w:val="ru-RU" w:bidi="ru-RU"/>
        </w:rPr>
        <w:t xml:space="preserve">East Asia &amp; Pacific — 13,875</w:t>
      </w:r>
      <w:r/>
    </w:p>
    <w:p w14:paraId="4132D2E2">
      <w:pPr>
        <w:pStyle w:val="1010"/>
        <w:numPr>
          <w:ilvl w:val="1"/>
          <w:numId w:val="35"/>
        </w:numPr>
        <w:pBdr/>
        <w:spacing/>
        <w:ind/>
        <w:rPr/>
      </w:pPr>
      <w:r>
        <w:rPr>
          <w:highlight w:val="none"/>
          <w:lang w:val="ru-RU" w:bidi="ru-RU"/>
        </w:rPr>
        <w:t xml:space="preserve">Latin America &amp; Caribbean — 13,157</w:t>
      </w:r>
      <w:r/>
    </w:p>
    <w:p w14:paraId="0FFB787E">
      <w:pPr>
        <w:pStyle w:val="1010"/>
        <w:numPr>
          <w:ilvl w:val="1"/>
          <w:numId w:val="35"/>
        </w:numPr>
        <w:pBdr/>
        <w:spacing/>
        <w:ind/>
        <w:rPr/>
      </w:pPr>
      <w:r>
        <w:rPr>
          <w:highlight w:val="none"/>
          <w:lang w:val="ru-RU" w:bidi="ru-RU"/>
        </w:rPr>
        <w:t xml:space="preserve">Middle East &amp; North Africa — 11,276</w:t>
      </w:r>
      <w:r/>
    </w:p>
    <w:p w14:paraId="0DF1F286">
      <w:pPr>
        <w:pStyle w:val="1010"/>
        <w:numPr>
          <w:ilvl w:val="1"/>
          <w:numId w:val="35"/>
        </w:numPr>
        <w:pBdr/>
        <w:spacing/>
        <w:ind/>
        <w:rPr/>
      </w:pPr>
      <w:r>
        <w:rPr>
          <w:highlight w:val="none"/>
          <w:lang w:val="ru-RU" w:bidi="ru-RU"/>
        </w:rPr>
        <w:t xml:space="preserve">Sub-Saharan Africa — 9,269</w:t>
      </w:r>
      <w:r/>
    </w:p>
    <w:p w14:paraId="0AF99511">
      <w:pPr>
        <w:pStyle w:val="1010"/>
        <w:numPr>
          <w:ilvl w:val="1"/>
          <w:numId w:val="35"/>
        </w:numPr>
        <w:pBdr/>
        <w:spacing/>
        <w:ind/>
        <w:rPr/>
      </w:pPr>
      <w:r>
        <w:rPr>
          <w:highlight w:val="none"/>
          <w:lang w:val="ru-RU" w:bidi="ru-RU"/>
        </w:rPr>
        <w:t xml:space="preserve">South Asia — 3,797</w:t>
      </w:r>
      <w:r/>
    </w:p>
    <w:p w14:paraId="20D2FB4F">
      <w:pPr>
        <w:pStyle w:val="1010"/>
        <w:numPr>
          <w:ilvl w:val="1"/>
          <w:numId w:val="35"/>
        </w:numPr>
        <w:pBdr/>
        <w:spacing/>
        <w:ind/>
        <w:rPr/>
      </w:pPr>
      <w:r>
        <w:rPr>
          <w:highlight w:val="none"/>
          <w:lang w:val="ru-RU" w:bidi="ru-RU"/>
        </w:rPr>
        <w:t xml:space="preserve">North America — 1,996</w:t>
      </w:r>
      <w:r/>
    </w:p>
    <w:p w14:paraId="0884B545">
      <w:pPr>
        <w:pStyle w:val="1010"/>
        <w:numPr>
          <w:ilvl w:val="0"/>
          <w:numId w:val="35"/>
        </w:numPr>
        <w:pBdr/>
        <w:spacing/>
        <w:ind/>
        <w:rPr>
          <w:lang w:val="ru-RU"/>
        </w:rPr>
      </w:pPr>
      <w:r>
        <w:rPr>
          <w:highlight w:val="none"/>
          <w:lang w:val="ru-RU" w:bidi="ru-RU"/>
        </w:rPr>
        <w:t xml:space="preserve">There are 466 countries without a specified region.</w:t>
      </w:r>
      <w:r>
        <w:rPr>
          <w:lang w:val="ru-RU"/>
        </w:rPr>
      </w:r>
      <w:r>
        <w:rPr>
          <w:lang w:val="ru-RU"/>
        </w:rPr>
      </w:r>
    </w:p>
    <w:p w14:paraId="2D36550A">
      <w:pPr>
        <w:pStyle w:val="950"/>
        <w:pBdr/>
        <w:spacing/>
        <w:ind/>
        <w:rPr>
          <w:lang w:val="ru-RU"/>
        </w:rPr>
      </w:pPr>
      <w:r/>
      <w:r>
        <w:rPr>
          <w:highlight w:val="none"/>
          <w:lang w:val="ru-RU" w:bidi="ru-RU"/>
        </w:rPr>
        <w:t xml:space="preserve">Time coverage</w:t>
      </w:r>
      <w:r>
        <w:rPr>
          <w:lang w:val="ru-RU"/>
        </w:rPr>
      </w:r>
      <w:r>
        <w:rPr>
          <w:lang w:val="ru-RU"/>
        </w:rPr>
      </w:r>
      <w:r>
        <w:rPr>
          <w:lang w:val="ru-RU"/>
        </w:rPr>
      </w:r>
    </w:p>
    <w:p w14:paraId="0D63D651">
      <w:pPr>
        <w:pStyle w:val="1010"/>
        <w:numPr>
          <w:ilvl w:val="0"/>
          <w:numId w:val="36"/>
        </w:numPr>
        <w:pBdr/>
        <w:spacing/>
        <w:ind/>
        <w:rPr/>
      </w:pPr>
      <w:r>
        <w:rPr>
          <w:highlight w:val="none"/>
          <w:lang w:val="ru-RU" w:bidi="ru-RU"/>
        </w:rPr>
        <w:t xml:space="preserve">Data by year: 1900–2024.</w:t>
      </w:r>
      <w:r/>
    </w:p>
    <w:p w14:paraId="50C0D6E1">
      <w:pPr>
        <w:pStyle w:val="1010"/>
        <w:numPr>
          <w:ilvl w:val="0"/>
          <w:numId w:val="36"/>
        </w:numPr>
        <w:pBdr/>
        <w:spacing/>
        <w:ind/>
        <w:rPr>
          <w:lang w:val="ru-RU"/>
        </w:rPr>
      </w:pPr>
      <w:r>
        <w:rPr>
          <w:highlight w:val="none"/>
          <w:lang w:val="ru-RU" w:bidi="ru-RU"/>
        </w:rPr>
        <w:t xml:space="preserve">This allows for long-term analysis of historical trends in consumption, production, and emissions.</w:t>
      </w:r>
      <w:r>
        <w:rPr>
          <w:lang w:val="ru-RU"/>
        </w:rPr>
      </w:r>
      <w:r>
        <w:rPr>
          <w:lang w:val="ru-RU"/>
        </w:rPr>
      </w:r>
    </w:p>
    <w:p w14:paraId="0727C8B5">
      <w:pPr>
        <w:pStyle w:val="950"/>
        <w:pBdr/>
        <w:spacing/>
        <w:ind/>
        <w:rPr>
          <w:lang w:val="ru-RU"/>
        </w:rPr>
      </w:pPr>
      <w:r/>
      <w:r>
        <w:rPr>
          <w:highlight w:val="none"/>
          <w:lang w:val="ru-RU" w:bidi="ru-RU"/>
        </w:rPr>
        <w:t xml:space="preserve">Indicator values</w:t>
      </w:r>
      <w:r>
        <w:rPr>
          <w:lang w:val="ru-RU"/>
        </w:rPr>
      </w:r>
      <w:r>
        <w:rPr>
          <w:lang w:val="ru-RU"/>
        </w:rPr>
      </w:r>
      <w:r>
        <w:rPr>
          <w:lang w:val="ru-RU"/>
        </w:rPr>
      </w:r>
    </w:p>
    <w:p w14:paraId="6C6ECE77">
      <w:pPr>
        <w:pStyle w:val="1010"/>
        <w:numPr>
          <w:ilvl w:val="0"/>
          <w:numId w:val="37"/>
        </w:numPr>
        <w:pBdr/>
        <w:spacing/>
        <w:ind/>
        <w:rPr/>
      </w:pPr>
      <w:r>
        <w:rPr>
          <w:highlight w:val="none"/>
          <w:lang w:val="ru-RU" w:bidi="ru-RU"/>
        </w:rPr>
        <w:t xml:space="preserve">Average value: 198.54.</w:t>
      </w:r>
      <w:r/>
    </w:p>
    <w:p w14:paraId="095220C4">
      <w:pPr>
        <w:pStyle w:val="1010"/>
        <w:numPr>
          <w:ilvl w:val="0"/>
          <w:numId w:val="37"/>
        </w:numPr>
        <w:pBdr/>
        <w:spacing/>
        <w:ind/>
        <w:rPr/>
      </w:pPr>
      <w:r>
        <w:rPr>
          <w:highlight w:val="none"/>
          <w:lang w:val="ru-RU" w:bidi="ru-RU"/>
        </w:rPr>
        <w:t xml:space="preserve">High dispersion: standard deviation ≈ 925, indicating a wide range of data (including large countries with huge consumption/production).</w:t>
      </w:r>
      <w:r/>
    </w:p>
    <w:p w14:paraId="2D6F3B90">
      <w:pPr>
        <w:pStyle w:val="1010"/>
        <w:numPr>
          <w:ilvl w:val="0"/>
          <w:numId w:val="37"/>
        </w:numPr>
        <w:pBdr/>
        <w:spacing/>
        <w:ind/>
        <w:rPr/>
      </w:pPr>
      <w:r>
        <w:rPr>
          <w:highlight w:val="none"/>
          <w:lang w:val="ru-RU" w:bidi="ru-RU"/>
        </w:rPr>
        <w:t xml:space="preserve">Minimum values may be negative (168 rows) — potentially errors or adjustments.</w:t>
      </w:r>
      <w:r/>
    </w:p>
    <w:p w14:paraId="074BCA46">
      <w:pPr>
        <w:pStyle w:val="1010"/>
        <w:numPr>
          <w:ilvl w:val="0"/>
          <w:numId w:val="37"/>
        </w:numPr>
        <w:pBdr/>
        <w:spacing/>
        <w:ind/>
        <w:rPr>
          <w:lang w:val="ru-RU"/>
        </w:rPr>
      </w:pPr>
      <w:r>
        <w:rPr>
          <w:highlight w:val="none"/>
          <w:lang w:val="ru-RU" w:bidi="ru-RU"/>
        </w:rPr>
        <w:t xml:space="preserve">Maximum values reach 26,245, probably large indicators for countries with large populations and energy consumption.</w:t>
      </w:r>
      <w:r>
        <w:rPr>
          <w:lang w:val="ru-RU"/>
        </w:rPr>
      </w:r>
      <w:r>
        <w:rPr>
          <w:lang w:val="ru-RU"/>
        </w:rPr>
      </w:r>
    </w:p>
    <w:p w14:paraId="0DE9884F">
      <w:pPr>
        <w:pStyle w:val="950"/>
        <w:pBdr/>
        <w:spacing/>
        <w:ind/>
        <w:rPr>
          <w:lang w:val="ru-RU"/>
        </w:rPr>
      </w:pPr>
      <w:r/>
      <w:r>
        <w:rPr>
          <w:highlight w:val="none"/>
          <w:lang w:val="ru-RU" w:bidi="ru-RU"/>
        </w:rPr>
        <w:t xml:space="preserve">Initial conclusions</w:t>
      </w:r>
      <w:r>
        <w:rPr>
          <w:lang w:val="ru-RU"/>
        </w:rPr>
      </w:r>
      <w:r>
        <w:rPr>
          <w:lang w:val="ru-RU"/>
        </w:rPr>
      </w:r>
      <w:r>
        <w:rPr>
          <w:lang w:val="ru-RU"/>
        </w:rPr>
      </w:r>
    </w:p>
    <w:p w14:paraId="00F70F14">
      <w:pPr>
        <w:pStyle w:val="1010"/>
        <w:numPr>
          <w:ilvl w:val="0"/>
          <w:numId w:val="38"/>
        </w:numPr>
        <w:pBdr/>
        <w:spacing/>
        <w:ind/>
        <w:rPr/>
      </w:pPr>
      <w:r>
        <w:rPr>
          <w:highlight w:val="none"/>
          <w:lang w:val="ru-RU" w:bidi="ru-RU"/>
        </w:rPr>
        <w:t xml:space="preserve">The dataset is high quality.</w:t>
      </w:r>
      <w:r/>
    </w:p>
    <w:p w14:paraId="6936B9C8">
      <w:pPr>
        <w:pStyle w:val="1010"/>
        <w:numPr>
          <w:ilvl w:val="0"/>
          <w:numId w:val="38"/>
        </w:numPr>
        <w:pBdr/>
        <w:spacing/>
        <w:ind/>
        <w:rPr/>
      </w:pPr>
      <w:r>
        <w:rPr>
          <w:highlight w:val="none"/>
          <w:lang w:val="ru-RU" w:bidi="ru-RU"/>
        </w:rPr>
        <w:t xml:space="preserve">There are few CO2 observations — this should be taken into account when analyzing emissions.</w:t>
      </w:r>
      <w:r/>
    </w:p>
    <w:p w14:paraId="1568ECF9">
      <w:pPr>
        <w:pStyle w:val="1010"/>
        <w:numPr>
          <w:ilvl w:val="0"/>
          <w:numId w:val="38"/>
        </w:numPr>
        <w:pBdr/>
        <w:spacing/>
        <w:ind/>
        <w:rPr>
          <w:lang w:val="ru-RU"/>
        </w:rPr>
      </w:pPr>
      <w:r>
        <w:rPr>
          <w:highlight w:val="none"/>
          <w:lang w:val="ru-RU" w:bidi="ru-RU"/>
        </w:rPr>
        <w:t xml:space="preserve">Most of the data is concentrated in Europe, Asia, and Latin America; North America is less represented.</w:t>
      </w:r>
      <w:r>
        <w:rPr>
          <w:lang w:val="ru-RU"/>
        </w:rPr>
      </w:r>
      <w:r>
        <w:rPr>
          <w:lang w:val="ru-RU"/>
        </w:rPr>
      </w:r>
    </w:p>
    <w:p w14:paraId="3FDEDB0A">
      <w:pPr>
        <w:pBdr/>
        <w:spacing/>
        <w:ind/>
        <w:rPr>
          <w:color w:val="44546a" w:themeColor="text2"/>
          <w:highlight w:val="none"/>
        </w:rPr>
      </w:pPr>
      <w:r>
        <w:rPr>
          <w:rFonts w:ascii="Arial" w:hAnsi="Arial" w:eastAsia="Arial" w:cs="Arial"/>
          <w:color w:val="44546a" w:themeColor="text2"/>
          <w:sz w:val="20"/>
          <w:highlight w:val="none"/>
        </w:rPr>
      </w:r>
      <w:r>
        <w:rPr>
          <w:color w:val="44546a" w:themeColor="text2"/>
          <w:highlight w:val="none"/>
        </w:rPr>
      </w:r>
      <w:r>
        <w:rPr>
          <w:color w:val="44546a" w:themeColor="text2"/>
          <w:highlight w:val="none"/>
        </w:rPr>
      </w:r>
    </w:p>
    <w:p w14:paraId="2A855C5C">
      <w:pPr>
        <w:pBdr/>
        <w:shd w:val="nil" w:color="auto"/>
        <w:spacing/>
        <w:ind/>
        <w:rPr>
          <w:highlight w:val="none"/>
          <w:lang w:val="ru-RU" w:bidi="ru-RU"/>
        </w:rPr>
      </w:pPr>
      <w:r>
        <w:rPr>
          <w:highlight w:val="none"/>
          <w:lang w:val="ru-RU" w:bidi="ru-RU"/>
        </w:rPr>
        <w:br w:type="page" w:clear="all"/>
      </w:r>
      <w:r>
        <w:rPr>
          <w:highlight w:val="none"/>
          <w:lang w:val="ru-RU" w:bidi="ru-RU"/>
        </w:rPr>
      </w:r>
      <w:r>
        <w:rPr>
          <w:highlight w:val="none"/>
          <w:lang w:val="ru-RU" w:bidi="ru-RU"/>
        </w:rPr>
      </w:r>
    </w:p>
    <w:p w14:paraId="36506E94">
      <w:pPr>
        <w:pStyle w:val="949"/>
        <w:pBdr/>
        <w:spacing/>
        <w:ind/>
        <w:rPr>
          <w:highlight w:val="none"/>
          <w:lang w:val="ru-RU" w:bidi="ru-RU"/>
        </w:rPr>
      </w:pPr>
      <w:r/>
      <w:bookmarkStart w:id="25" w:name="_Toc25"/>
      <w:r>
        <w:rPr>
          <w:highlight w:val="none"/>
          <w:lang w:val="ru-RU" w:bidi="ru-RU"/>
        </w:rPr>
        <w:t xml:space="preserve">Analytical report on energy consumption data visualization</w:t>
      </w:r>
      <w:r>
        <w:rPr>
          <w:highlight w:val="none"/>
          <w:lang w:val="ru-RU" w:bidi="ru-RU"/>
        </w:rPr>
      </w:r>
      <w:bookmarkEnd w:id="25"/>
      <w:r/>
      <w:r>
        <w:rPr>
          <w:highlight w:val="none"/>
          <w:lang w:val="ru-RU" w:bidi="ru-RU"/>
        </w:rPr>
      </w:r>
    </w:p>
    <w:p w14:paraId="3FFA7019">
      <w:pPr>
        <w:pBdr/>
        <w:spacing w:line="360" w:lineRule="auto"/>
        <w:ind/>
        <w:rPr>
          <w:highlight w:val="none"/>
          <w:lang w:val="ru-RU" w:bidi="ru-RU"/>
        </w:rPr>
      </w:pPr>
      <w:r>
        <w:rPr>
          <w:highlight w:val="none"/>
          <w:lang w:val="ru-RU" w:bidi="ru-RU"/>
        </w:rPr>
        <w:t xml:space="preserve">At the current stage of data </w:t>
      </w:r>
      <w:r>
        <w:rPr>
          <w:highlight w:val="none"/>
          <w:lang w:val="ru-RU" w:bidi="ru-RU"/>
        </w:rPr>
        <w:t xml:space="preserve">analysis</w:t>
      </w:r>
      <w:r>
        <w:rPr>
          <w:highlight w:val="none"/>
          <w:lang w:val="ru-RU" w:bidi="ru-RU"/>
        </w:rPr>
        <w:t xml:space="preserve">, the distribution of observations across key categories has been assessed: resources, metrics, and regions.</w:t>
      </w:r>
      <w:r>
        <w:rPr>
          <w:highlight w:val="none"/>
          <w:lang w:val="ru-RU" w:bidi="ru-RU"/>
        </w:rPr>
      </w:r>
      <w:r>
        <w:rPr>
          <w:highlight w:val="none"/>
          <w:lang w:val="ru-RU" w:bidi="ru-RU"/>
        </w:rPr>
      </w:r>
    </w:p>
    <w:p w14:paraId="232A81FD">
      <w:pPr>
        <w:pStyle w:val="950"/>
        <w:pBdr/>
        <w:spacing/>
        <w:ind/>
        <w:rPr>
          <w:lang w:val="ru-RU" w:bidi="ru-RU"/>
        </w:rPr>
      </w:pPr>
      <w:r/>
      <w:r>
        <w:rPr>
          <w:highlight w:val="none"/>
          <w:lang w:val="ru-RU" w:bidi="ru-RU"/>
        </w:rPr>
        <w:t xml:space="preserve">1. Quantitative data review (EDA)</w:t>
      </w:r>
      <w:r>
        <w:rPr>
          <w:lang w:val="ru-RU" w:bidi="ru-RU"/>
        </w:rPr>
      </w:r>
      <w:r>
        <w:rPr>
          <w:lang w:val="ru-RU" w:bidi="ru-RU"/>
        </w:rPr>
      </w:r>
      <w:r>
        <w:rPr>
          <w:lang w:val="ru-RU" w:bidi="ru-RU"/>
        </w:rPr>
      </w:r>
    </w:p>
    <w:p w14:paraId="3DFEF242">
      <w:pPr>
        <w:pBdr/>
        <w:spacing/>
        <w:ind/>
        <w:rPr>
          <w:highlight w:val="none"/>
          <w:lang w:val="ru-RU" w:bidi="ru-RU"/>
        </w:rPr>
      </w:pPr>
      <w:r>
        <w:rPr>
          <w:highlight w:val="none"/>
          <w:lang w:val="ru-RU" w:bidi="ru-RU"/>
        </w:rPr>
        <w:t xml:space="preserve">R</w:t>
      </w:r>
      <w:r>
        <w:rPr>
          <w:highlight w:val="none"/>
          <w:lang w:val="ru-RU" w:bidi="ru-RU"/>
        </w:rPr>
        <w:t xml:space="preserve">esources and metrics: The main data set focuses on fossil fuels (Oil, Gas, Coal). The Production metric prevails in the data set, accounting for more than 59% of all records. Emissions data accounts for only 6%, which is a bottleneck for environmental anal</w:t>
      </w:r>
      <w:r>
        <w:rPr>
          <w:highlight w:val="none"/>
          <w:lang w:val="ru-RU" w:bidi="ru-RU"/>
        </w:rPr>
        <w:t xml:space="preserve">ysis.</w:t>
      </w:r>
      <w:r>
        <w:rPr>
          <w:highlight w:val="none"/>
          <w:lang w:val="ru-RU" w:bidi="ru-RU"/>
        </w:rPr>
      </w:r>
      <w:r>
        <w:rPr>
          <w:highlight w:val="none"/>
          <w:lang w:val="ru-RU" w:bidi="ru-RU"/>
        </w:rPr>
      </w:r>
    </w:p>
    <w:p w14:paraId="2097A57C">
      <w:pPr>
        <w:pBdr/>
        <w:spacing/>
        <w:ind/>
        <w:rPr>
          <w:highlight w:val="none"/>
          <w:lang w:val="ru-RU" w:bidi="ru-RU"/>
        </w:rPr>
      </w:pPr>
      <w:r>
        <w:rPr>
          <w:highlight w:val="none"/>
          <w:lang w:val="ru-RU" w:bidi="ru-RU"/>
        </w:rPr>
      </w:r>
      <w:r>
        <mc:AlternateContent>
          <mc:Choice Requires="wpg">
            <w:drawing>
              <wp:inline xmlns:wp="http://schemas.openxmlformats.org/drawingml/2006/wordprocessingDrawing" distT="0" distB="0" distL="0" distR="0">
                <wp:extent cx="5943600" cy="297180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418154" name=""/>
                        <pic:cNvPicPr>
                          <a:picLocks noChangeAspect="1"/>
                        </pic:cNvPicPr>
                        <pic:nvPr/>
                      </pic:nvPicPr>
                      <pic:blipFill rotWithShape="1">
                        <a:blip r:embed="rId11"/>
                        <a:stretch/>
                      </pic:blipFill>
                      <pic:spPr bwMode="auto">
                        <a:xfrm>
                          <a:off x="0" y="0"/>
                          <a:ext cx="5943598" cy="29717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234.00pt;mso-wrap-distance-left:0.00pt;mso-wrap-distance-top:0.00pt;mso-wrap-distance-right:0.00pt;mso-wrap-distance-bottom:0.00pt;z-index:1;" stroked="false">
                <v:imagedata r:id="rId11" o:title=""/>
                <o:lock v:ext="edit" rotation="t"/>
              </v:shape>
            </w:pict>
          </mc:Fallback>
        </mc:AlternateContent>
      </w:r>
      <w:r>
        <w:rPr>
          <w:highlight w:val="none"/>
          <w:lang w:val="ru-RU" w:bidi="ru-RU"/>
        </w:rPr>
      </w:r>
      <w:r>
        <w:rPr>
          <w:highlight w:val="none"/>
          <w:lang w:val="ru-RU" w:bidi="ru-RU"/>
        </w:rPr>
      </w:r>
    </w:p>
    <w:p w14:paraId="762C2E47">
      <w:pPr>
        <w:pStyle w:val="985"/>
        <w:pBdr/>
        <w:spacing/>
        <w:ind/>
        <w:rPr>
          <w14:ligatures w14:val="none"/>
        </w:rPr>
      </w:pPr>
      <w:r>
        <w:t xml:space="preserve">Picture </w:t>
      </w:r>
      <w:r>
        <w:fldChar w:fldCharType="begin"/>
        <w:instrText xml:space="preserve"> SEQ Picture \* Arabic </w:instrText>
        <w:fldChar w:fldCharType="separate"/>
      </w:r>
      <w:r>
        <w:t xml:space="preserve">1</w:t>
      </w:r>
      <w:r>
        <w:fldChar w:fldCharType="end"/>
        <w:t xml:space="preserve"> – Data review.</w:t>
      </w:r>
      <w:r>
        <w:rPr>
          <w14:ligatures w14:val="none"/>
        </w:rPr>
      </w:r>
      <w:r>
        <w:rPr>
          <w14:ligatures w14:val="none"/>
        </w:rPr>
      </w:r>
    </w:p>
    <w:p w14:paraId="118CDD4A">
      <w:pPr>
        <w:pBdr/>
        <w:spacing/>
        <w:ind/>
        <w:rPr>
          <w:highlight w:val="none"/>
          <w:lang w:val="ru-RU" w:bidi="ru-RU"/>
        </w:rPr>
      </w:pPr>
      <w:r>
        <w:rPr>
          <w:highlight w:val="none"/>
          <w:lang w:val="ru-RU" w:bidi="ru-RU"/>
        </w:rPr>
      </w:r>
      <w:r>
        <w:rPr>
          <w:highlight w:val="none"/>
          <w:lang w:val="ru-RU" w:bidi="ru-RU"/>
        </w:rPr>
        <w:t xml:space="preserve">Geography: The highest data density is characteristic of the Europe &amp; Central Asia region (more than 26,000 rows), while North America is represented minimally (about 2,000 rows), which is due to the small number of countries in the region.</w:t>
      </w:r>
      <w:r>
        <w:rPr>
          <w:highlight w:val="none"/>
          <w:lang w:val="ru-RU" w:bidi="ru-RU"/>
        </w:rPr>
      </w:r>
      <w:r>
        <w:rPr>
          <w:highlight w:val="none"/>
          <w:lang w:val="ru-RU" w:bidi="ru-RU"/>
        </w:rPr>
      </w:r>
    </w:p>
    <w:p w14:paraId="4F4A945F">
      <w:pPr>
        <w:pBdr/>
        <w:spacing/>
        <w:ind/>
        <w:rPr>
          <w:highlight w:val="none"/>
        </w:rPr>
      </w:pPr>
      <w:r>
        <w:rPr>
          <w:highlight w:val="none"/>
          <w:lang w:val="ru-RU" w:bidi="ru-RU"/>
        </w:rPr>
      </w:r>
      <w:r>
        <mc:AlternateContent>
          <mc:Choice Requires="wpg">
            <w:drawing>
              <wp:inline xmlns:wp="http://schemas.openxmlformats.org/drawingml/2006/wordprocessingDrawing" distT="0" distB="0" distL="0" distR="0">
                <wp:extent cx="5943600" cy="297180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991741" name=""/>
                        <pic:cNvPicPr>
                          <a:picLocks noChangeAspect="1"/>
                        </pic:cNvPicPr>
                        <pic:nvPr/>
                      </pic:nvPicPr>
                      <pic:blipFill rotWithShape="1">
                        <a:blip r:embed="rId12"/>
                        <a:stretch/>
                      </pic:blipFill>
                      <pic:spPr bwMode="auto">
                        <a:xfrm>
                          <a:off x="0" y="0"/>
                          <a:ext cx="5943598" cy="29717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234.00pt;mso-wrap-distance-left:0.00pt;mso-wrap-distance-top:0.00pt;mso-wrap-distance-right:0.00pt;mso-wrap-distance-bottom:0.00pt;z-index:1;" stroked="false">
                <v:imagedata r:id="rId12" o:title=""/>
                <o:lock v:ext="edit" rotation="t"/>
              </v:shape>
            </w:pict>
          </mc:Fallback>
        </mc:AlternateContent>
      </w:r>
      <w:r>
        <w:rPr>
          <w:highlight w:val="none"/>
        </w:rPr>
      </w:r>
      <w:r>
        <w:rPr>
          <w:highlight w:val="none"/>
        </w:rPr>
      </w:r>
    </w:p>
    <w:p w14:paraId="5A75B0AD">
      <w:pPr>
        <w:pBdr/>
        <w:spacing/>
        <w:ind/>
        <w:rPr>
          <w:highlight w:val="none"/>
        </w:rPr>
      </w:pPr>
      <w:r>
        <w:rPr>
          <w:highlight w:val="none"/>
        </w:rPr>
      </w:r>
      <w:r>
        <w:rPr>
          <w:highlight w:val="none"/>
        </w:rPr>
      </w:r>
      <w:r>
        <w:rPr>
          <w:highlight w:val="none"/>
        </w:rPr>
      </w:r>
    </w:p>
    <w:p w14:paraId="6E856991">
      <w:pPr>
        <w:pStyle w:val="985"/>
        <w:pBdr/>
        <w:spacing/>
        <w:ind/>
        <w:rPr/>
      </w:pPr>
      <w:r>
        <w:t xml:space="preserve">Picture </w:t>
      </w:r>
      <w:r>
        <w:fldChar w:fldCharType="begin"/>
        <w:instrText xml:space="preserve"> SEQ Picture \* Arabic </w:instrText>
        <w:fldChar w:fldCharType="separate"/>
      </w:r>
      <w:r>
        <w:t xml:space="preserve">2</w:t>
      </w:r>
      <w:r>
        <w:fldChar w:fldCharType="end"/>
        <w:t xml:space="preserve"> – all regional views.</w:t>
      </w:r>
      <w:r/>
    </w:p>
    <w:p w14:paraId="3DB441C8">
      <w:pPr>
        <w:pStyle w:val="950"/>
        <w:pBdr/>
        <w:spacing/>
        <w:ind/>
        <w:rPr>
          <w:lang w:val="ru-RU" w:bidi="ru-RU"/>
        </w:rPr>
      </w:pPr>
      <w:r/>
      <w:r>
        <w:rPr>
          <w:highlight w:val="none"/>
          <w:lang w:val="ru-RU" w:bidi="ru-RU"/>
        </w:rPr>
        <w:t xml:space="preserve">2. Analysis of value distribution</w:t>
      </w:r>
      <w:r>
        <w:rPr>
          <w:lang w:val="ru-RU" w:bidi="ru-RU"/>
        </w:rPr>
      </w:r>
      <w:r>
        <w:rPr>
          <w:lang w:val="ru-RU" w:bidi="ru-RU"/>
        </w:rPr>
      </w:r>
      <w:r>
        <w:rPr>
          <w:lang w:val="ru-RU" w:bidi="ru-RU"/>
        </w:rPr>
      </w:r>
    </w:p>
    <w:p w14:paraId="31B70089">
      <w:pPr>
        <w:pBdr/>
        <w:spacing/>
        <w:ind/>
        <w:rPr/>
      </w:pPr>
      <w:r>
        <w:rPr>
          <w:highlight w:val="none"/>
          <w:lang w:val="ru-RU" w:bidi="ru-RU"/>
        </w:rPr>
        <w:t xml:space="preserve">To understand the scale of consumption and production, a boxplot method with a logarithmic scale was used.</w:t>
      </w:r>
      <w:r/>
    </w:p>
    <w:p w14:paraId="28A31449">
      <w:pPr>
        <w:pStyle w:val="1010"/>
        <w:numPr>
          <w:ilvl w:val="0"/>
          <w:numId w:val="39"/>
        </w:numPr>
        <w:pBdr/>
        <w:spacing/>
        <w:ind/>
        <w:rPr/>
      </w:pPr>
      <w:r>
        <w:rPr>
          <w:highlight w:val="none"/>
          <w:lang w:val="ru-RU" w:bidi="ru-RU"/>
        </w:rPr>
        <w:t xml:space="preserve">Dispersion: The average value of the indicator is 198.54, but the standard deviation exceeds 925, indicating an extreme difference between the leading countries and the rest of the world.</w:t>
      </w:r>
      <w:r/>
    </w:p>
    <w:p w14:paraId="63AC58F5">
      <w:pPr>
        <w:pStyle w:val="1010"/>
        <w:numPr>
          <w:ilvl w:val="0"/>
          <w:numId w:val="39"/>
        </w:numPr>
        <w:pBdr/>
        <w:spacing/>
        <w:ind/>
        <w:rPr/>
      </w:pPr>
      <w:r>
        <w:rPr>
          <w:highlight w:val="none"/>
          <w:lang w:val="ru-RU" w:bidi="ru-RU"/>
        </w:rPr>
        <w:t xml:space="preserve">Outliers: A large number of points outside the whiskers (in the region of 10</w:t>
      </w:r>
      <w:r>
        <w:rPr>
          <w:highlight w:val="none"/>
          <w:lang w:val="en-US"/>
        </w:rPr>
        <w:t xml:space="preserve">^4</w:t>
      </w:r>
      <w:r>
        <w:rPr>
          <w:highlight w:val="none"/>
          <w:lang w:val="ru-RU" w:bidi="ru-RU"/>
        </w:rPr>
        <w:t xml:space="preserve">) confirm that the global energy sector is heavily centered around a few major players.</w:t>
      </w:r>
      <w:r/>
    </w:p>
    <w:p w14:paraId="6455F15E">
      <w:pPr>
        <w:pBdr/>
        <w:spacing/>
        <w:ind/>
        <w:rPr>
          <w:highlight w:val="none"/>
        </w:rPr>
      </w:pPr>
      <w:r>
        <w:rPr>
          <w:highlight w:val="none"/>
          <w:lang w:val="ru-RU" w:bidi="ru-RU"/>
        </w:rPr>
      </w:r>
      <w:r>
        <mc:AlternateContent>
          <mc:Choice Requires="wpg">
            <w:drawing>
              <wp:inline xmlns:wp="http://schemas.openxmlformats.org/drawingml/2006/wordprocessingDrawing" distT="0" distB="0" distL="0" distR="0">
                <wp:extent cx="5943600" cy="2971800"/>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842501" name=""/>
                        <pic:cNvPicPr>
                          <a:picLocks noChangeAspect="1"/>
                        </pic:cNvPicPr>
                        <pic:nvPr/>
                      </pic:nvPicPr>
                      <pic:blipFill rotWithShape="1">
                        <a:blip r:embed="rId13"/>
                        <a:stretch/>
                      </pic:blipFill>
                      <pic:spPr bwMode="auto">
                        <a:xfrm>
                          <a:off x="0" y="0"/>
                          <a:ext cx="5943598" cy="29717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234.00pt;mso-wrap-distance-left:0.00pt;mso-wrap-distance-top:0.00pt;mso-wrap-distance-right:0.00pt;mso-wrap-distance-bottom:0.00pt;z-index:1;" stroked="false">
                <v:imagedata r:id="rId13" o:title=""/>
                <o:lock v:ext="edit" rotation="t"/>
              </v:shape>
            </w:pict>
          </mc:Fallback>
        </mc:AlternateContent>
      </w:r>
      <w:r>
        <w:rPr>
          <w:highlight w:val="none"/>
        </w:rPr>
      </w:r>
      <w:r>
        <w:rPr>
          <w:highlight w:val="none"/>
        </w:rPr>
      </w:r>
    </w:p>
    <w:p w14:paraId="5E57B929">
      <w:pPr>
        <w:pStyle w:val="985"/>
        <w:pBdr/>
        <w:spacing/>
        <w:ind/>
        <w:rPr/>
      </w:pPr>
      <w:r>
        <w:t xml:space="preserve">Picture </w:t>
      </w:r>
      <w:r>
        <w:fldChar w:fldCharType="begin"/>
        <w:instrText xml:space="preserve"> SEQ Picture \* Arabic </w:instrText>
        <w:fldChar w:fldCharType="separate"/>
      </w:r>
      <w:r>
        <w:t xml:space="preserve">3</w:t>
      </w:r>
      <w:r>
        <w:fldChar w:fldCharType="end"/>
        <w:t xml:space="preserve"> – Value Distribution</w:t>
      </w:r>
      <w:r>
        <w:rPr>
          <w:highlight w:val="none"/>
          <w:lang w:val="en-US"/>
        </w:rPr>
        <w:t xml:space="preserve">.</w:t>
      </w:r>
      <w:r/>
    </w:p>
    <w:p w14:paraId="698B933A">
      <w:pPr>
        <w:pStyle w:val="950"/>
        <w:pBdr/>
        <w:spacing/>
        <w:ind/>
        <w:rPr>
          <w:highlight w:val="none"/>
          <w:lang w:val="ru-RU" w:bidi="ru-RU"/>
        </w:rPr>
      </w:pPr>
      <w:r/>
      <w:r>
        <w:rPr>
          <w:highlight w:val="none"/>
          <w:lang w:val="ru-RU" w:bidi="ru-RU"/>
        </w:rPr>
        <w:t xml:space="preserve">3. Historical trends: Oil consumption (1965–2024)</w:t>
      </w:r>
      <w:r>
        <w:rPr>
          <w:highlight w:val="none"/>
          <w:lang w:val="ru-RU" w:bidi="ru-RU"/>
        </w:rPr>
      </w:r>
      <w:r>
        <w:rPr>
          <w:highlight w:val="none"/>
          <w:lang w:val="ru-RU" w:bidi="ru-RU"/>
        </w:rPr>
      </w:r>
      <w:r>
        <w:rPr>
          <w:highlight w:val="none"/>
          <w:lang w:val="ru-RU" w:bidi="ru-RU"/>
        </w:rPr>
      </w:r>
    </w:p>
    <w:p w14:paraId="207F4DF2">
      <w:pPr>
        <w:pBdr/>
        <w:spacing/>
        <w:ind/>
        <w:rPr/>
      </w:pPr>
      <w:r>
        <w:rPr>
          <w:highlight w:val="none"/>
          <w:lang w:val="ru-RU" w:bidi="ru-RU"/>
        </w:rPr>
        <w:t xml:space="preserve">An analysis of time series data on total oil consumption reveals key geopolitical and economic shifts:</w:t>
      </w:r>
      <w:r/>
    </w:p>
    <w:p w14:paraId="1E722AAF">
      <w:pPr>
        <w:pStyle w:val="1010"/>
        <w:numPr>
          <w:ilvl w:val="0"/>
          <w:numId w:val="40"/>
        </w:numPr>
        <w:pBdr/>
        <w:spacing/>
        <w:ind/>
        <w:rPr/>
      </w:pPr>
      <w:r>
        <w:rPr>
          <w:highlight w:val="none"/>
          <w:lang w:val="ru-RU" w:bidi="ru-RU"/>
        </w:rPr>
        <w:t xml:space="preserve">Change in leadership: The East Asia &amp; Pacific region has shown aggressive growth since the 2000s, becoming the world's largest consumer.</w:t>
      </w:r>
      <w:r/>
    </w:p>
    <w:p w14:paraId="34DD7815">
      <w:pPr>
        <w:pStyle w:val="1010"/>
        <w:numPr>
          <w:ilvl w:val="0"/>
          <w:numId w:val="40"/>
        </w:numPr>
        <w:pBdr/>
        <w:spacing/>
        <w:ind/>
        <w:rPr/>
      </w:pPr>
      <w:r>
        <w:rPr>
          <w:highlight w:val="none"/>
          <w:lang w:val="ru-RU" w:bidi="ru-RU"/>
        </w:rPr>
        <w:t xml:space="preserve">Western energy efficiency: North America and Europe are showing stagnation or a decline in consumption, which may be due to the transition to renewable sources and increased production efficiency.</w:t>
      </w:r>
      <w:r/>
    </w:p>
    <w:p w14:paraId="36C70038">
      <w:pPr>
        <w:pStyle w:val="1010"/>
        <w:numPr>
          <w:ilvl w:val="0"/>
          <w:numId w:val="40"/>
        </w:numPr>
        <w:pBdr/>
        <w:spacing/>
        <w:ind/>
        <w:rPr>
          <w:lang w:val="ru-RU" w:bidi="ru-RU"/>
        </w:rPr>
      </w:pPr>
      <w:r>
        <w:rPr>
          <w:highlight w:val="none"/>
          <w:lang w:val="ru-RU" w:bidi="ru-RU"/>
        </w:rPr>
        <w:t xml:space="preserve">The 2020 crisis: The graph clearly shows a sharp “drop” in consumption in all regions caused by the COVID-19 pandemic, followed by a recovery.</w:t>
      </w:r>
      <w:r>
        <w:rPr>
          <w:lang w:val="ru-RU" w:bidi="ru-RU"/>
        </w:rPr>
      </w:r>
      <w:r>
        <w:rPr>
          <w:lang w:val="ru-RU" w:bidi="ru-RU"/>
        </w:rPr>
      </w:r>
    </w:p>
    <w:p w14:paraId="647DDDCC">
      <w:pPr>
        <w:pBdr/>
        <w:spacing/>
        <w:ind/>
        <w:rPr>
          <w:highlight w:val="none"/>
          <w:lang w:val="ru-RU" w:bidi="ru-RU"/>
        </w:rPr>
      </w:pPr>
      <w:r>
        <mc:AlternateContent>
          <mc:Choice Requires="wpg">
            <w:drawing>
              <wp:inline xmlns:wp="http://schemas.openxmlformats.org/drawingml/2006/wordprocessingDrawing" distT="0" distB="0" distL="0" distR="0">
                <wp:extent cx="5943600" cy="297180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075820" name=""/>
                        <pic:cNvPicPr>
                          <a:picLocks noChangeAspect="1"/>
                        </pic:cNvPicPr>
                        <pic:nvPr/>
                      </pic:nvPicPr>
                      <pic:blipFill rotWithShape="1">
                        <a:blip r:embed="rId14"/>
                        <a:stretch/>
                      </pic:blipFill>
                      <pic:spPr bwMode="auto">
                        <a:xfrm>
                          <a:off x="0" y="0"/>
                          <a:ext cx="5943598" cy="29717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8.00pt;height:234.00pt;mso-wrap-distance-left:0.00pt;mso-wrap-distance-top:0.00pt;mso-wrap-distance-right:0.00pt;mso-wrap-distance-bottom:0.00pt;z-index:1;" stroked="false">
                <v:imagedata r:id="rId14" o:title=""/>
                <o:lock v:ext="edit" rotation="t"/>
              </v:shape>
            </w:pict>
          </mc:Fallback>
        </mc:AlternateContent>
      </w:r>
      <w:r>
        <w:rPr>
          <w:highlight w:val="none"/>
          <w:lang w:val="ru-RU" w:bidi="ru-RU"/>
        </w:rPr>
      </w:r>
      <w:r>
        <w:rPr>
          <w:highlight w:val="none"/>
          <w:lang w:val="ru-RU" w:bidi="ru-RU"/>
        </w:rPr>
      </w:r>
    </w:p>
    <w:p w14:paraId="21D504A7">
      <w:pPr>
        <w:pStyle w:val="985"/>
        <w:pBdr/>
        <w:spacing/>
        <w:ind/>
        <w:rPr/>
      </w:pPr>
      <w:r>
        <w:t xml:space="preserve">Picture </w:t>
      </w:r>
      <w:r>
        <w:fldChar w:fldCharType="begin"/>
        <w:instrText xml:space="preserve"> SEQ Picture \* Arabic </w:instrText>
        <w:fldChar w:fldCharType="separate"/>
      </w:r>
      <w:r>
        <w:t xml:space="preserve">4</w:t>
      </w:r>
      <w:r>
        <w:fldChar w:fldCharType="end"/>
        <w:t xml:space="preserve"> – Historical trends: Oil consumption</w:t>
      </w:r>
      <w:r>
        <w:t xml:space="preserve">.</w:t>
      </w:r>
      <w:r/>
    </w:p>
    <w:p w14:paraId="55D3C6CB">
      <w:pPr>
        <w:pBdr/>
        <w:shd w:val="nil" w:color="auto"/>
        <w:spacing/>
        <w:ind/>
        <w:rPr>
          <w:highlight w:val="none"/>
          <w:lang w:val="ru-RU" w:bidi="ru-RU"/>
        </w:rPr>
      </w:pPr>
      <w:r>
        <w:rPr>
          <w:highlight w:val="none"/>
          <w:lang w:val="ru-RU" w:bidi="ru-RU"/>
        </w:rPr>
        <w:br w:type="page" w:clear="all"/>
      </w:r>
      <w:r>
        <w:rPr>
          <w:highlight w:val="none"/>
          <w:lang w:val="ru-RU" w:bidi="ru-RU"/>
        </w:rPr>
      </w:r>
      <w:r>
        <w:rPr>
          <w:highlight w:val="none"/>
          <w:lang w:val="ru-RU" w:bidi="ru-RU"/>
        </w:rPr>
      </w:r>
    </w:p>
    <w:p w14:paraId="30C70E6C">
      <w:pPr>
        <w:pStyle w:val="949"/>
        <w:pBdr/>
        <w:spacing/>
        <w:ind/>
        <w:rPr>
          <w:highlight w:val="none"/>
          <w:lang w:val="ru-RU" w:bidi="ru-RU"/>
        </w:rPr>
      </w:pPr>
      <w:r/>
      <w:bookmarkStart w:id="26" w:name="_Toc26"/>
      <w:r>
        <w:rPr>
          <w:highlight w:val="none"/>
          <w:lang w:val="ru-RU" w:bidi="ru-RU"/>
        </w:rPr>
        <w:t xml:space="preserve">Report on testing statistical hypotheses in the energy sector</w:t>
      </w:r>
      <w:r>
        <w:rPr>
          <w:highlight w:val="none"/>
          <w:lang w:val="ru-RU" w:bidi="ru-RU"/>
        </w:rPr>
      </w:r>
      <w:bookmarkEnd w:id="26"/>
      <w:r/>
      <w:r>
        <w:rPr>
          <w:highlight w:val="none"/>
          <w:lang w:val="ru-RU" w:bidi="ru-RU"/>
        </w:rPr>
      </w:r>
    </w:p>
    <w:p w14:paraId="266E4FCC">
      <w:pPr>
        <w:pBdr/>
        <w:spacing/>
        <w:ind/>
        <w:rPr>
          <w:highlight w:val="none"/>
          <w:lang w:val="ru-RU" w:bidi="ru-RU"/>
        </w:rPr>
      </w:pPr>
      <w:r>
        <w:rPr>
          <w:highlight w:val="none"/>
          <w:lang w:val="ru-RU" w:bidi="ru-RU"/>
        </w:rPr>
      </w:r>
      <w:r>
        <w:rPr>
          <w:highlight w:val="none"/>
          <w:lang w:val="ru-RU" w:bidi="ru-RU"/>
        </w:rPr>
        <w:t xml:space="preserve">This section presents the results of testing hypotheses about differences in resource production, consumption, and emissions between regions and key countries.</w:t>
      </w:r>
      <w:r>
        <w:rPr>
          <w:highlight w:val="none"/>
          <w:lang w:val="ru-RU" w:bidi="ru-RU"/>
        </w:rPr>
      </w:r>
      <w:r>
        <w:rPr>
          <w:highlight w:val="none"/>
          <w:lang w:val="ru-RU" w:bidi="ru-RU"/>
        </w:rPr>
      </w:r>
    </w:p>
    <w:p w14:paraId="110C840F">
      <w:pPr>
        <w:pStyle w:val="950"/>
        <w:pBdr/>
        <w:spacing/>
        <w:ind/>
        <w:rPr>
          <w:lang w:val="ru-RU" w:bidi="ru-RU"/>
        </w:rPr>
      </w:pPr>
      <w:r/>
      <w:r>
        <w:rPr>
          <w:highlight w:val="none"/>
          <w:lang w:val="ru-RU" w:bidi="ru-RU"/>
        </w:rPr>
        <w:t xml:space="preserve">1. Regional differences (ANOVA)</w:t>
      </w:r>
      <w:r>
        <w:rPr>
          <w:lang w:val="ru-RU" w:bidi="ru-RU"/>
        </w:rPr>
      </w:r>
      <w:r>
        <w:rPr>
          <w:lang w:val="ru-RU" w:bidi="ru-RU"/>
        </w:rPr>
      </w:r>
      <w:r>
        <w:rPr>
          <w:lang w:val="ru-RU" w:bidi="ru-RU"/>
        </w:rPr>
      </w:r>
    </w:p>
    <w:p w14:paraId="743F2986">
      <w:pPr>
        <w:pBdr/>
        <w:spacing/>
        <w:ind/>
        <w:rPr>
          <w:highlight w:val="none"/>
          <w:lang w:val="ru-RU" w:bidi="ru-RU"/>
        </w:rPr>
      </w:pPr>
      <w:r>
        <w:rPr>
          <w:highlight w:val="none"/>
          <w:lang w:val="ru-RU" w:bidi="ru-RU"/>
        </w:rPr>
      </w:r>
      <w:r>
        <w:rPr>
          <w:highlight w:val="none"/>
          <w:lang w:val="ru-RU" w:bidi="ru-RU"/>
        </w:rPr>
        <w:t xml:space="preserve">For each resource, the null hypothesis was tested: “The average values of the indicator are the same for all geographic regions.” In all cases, the p-value = 0.000, which allows us to reject the null hypothesis.</w:t>
      </w:r>
      <w:r>
        <w:rPr>
          <w:highlight w:val="none"/>
          <w:lang w:val="ru-RU" w:bidi="ru-RU"/>
        </w:rPr>
      </w:r>
      <w:r>
        <w:rPr>
          <w:highlight w:val="none"/>
          <w:lang w:val="ru-RU" w:bidi="ru-RU"/>
        </w:rPr>
      </w:r>
    </w:p>
    <w:p w14:paraId="4CBC0E53">
      <w:pPr>
        <w:pStyle w:val="951"/>
        <w:pBdr/>
        <w:spacing/>
        <w:ind/>
        <w:rPr>
          <w:lang w:val="ru-RU" w:bidi="ru-RU"/>
        </w:rPr>
      </w:pPr>
      <w:r/>
      <w:r>
        <w:rPr>
          <w:highlight w:val="none"/>
          <w:lang w:val="ru-RU" w:bidi="ru-RU"/>
        </w:rPr>
        <w:t xml:space="preserve">Natural gas (Gas)</w:t>
      </w:r>
      <w:r>
        <w:rPr>
          <w:lang w:val="ru-RU" w:bidi="ru-RU"/>
        </w:rPr>
      </w:r>
      <w:r>
        <w:rPr>
          <w:lang w:val="ru-RU" w:bidi="ru-RU"/>
        </w:rPr>
      </w:r>
      <w:r>
        <w:rPr>
          <w:lang w:val="ru-RU" w:bidi="ru-RU"/>
        </w:rPr>
      </w:r>
    </w:p>
    <w:p w14:paraId="2BF73326">
      <w:pPr>
        <w:pStyle w:val="1010"/>
        <w:numPr>
          <w:ilvl w:val="0"/>
          <w:numId w:val="41"/>
        </w:numPr>
        <w:pBdr/>
        <w:spacing/>
        <w:ind/>
        <w:rPr/>
      </w:pPr>
      <w:r>
        <w:rPr>
          <w:highlight w:val="none"/>
          <w:lang w:val="ru-RU" w:bidi="ru-RU"/>
        </w:rPr>
        <w:t xml:space="preserve">Consumption: The North America region stands out with the highest median consumption and a significant number of large consumers (emissions on the graph).</w:t>
      </w:r>
      <w:r/>
    </w:p>
    <w:p w14:paraId="022BCFCA">
      <w:pPr>
        <w:pStyle w:val="1010"/>
        <w:numPr>
          <w:ilvl w:val="0"/>
          <w:numId w:val="41"/>
        </w:numPr>
        <w:pBdr/>
        <w:spacing/>
        <w:ind/>
        <w:rPr>
          <w:lang w:val="ru-RU" w:bidi="ru-RU"/>
        </w:rPr>
      </w:pPr>
      <w:r>
        <w:rPr>
          <w:highlight w:val="none"/>
          <w:lang w:val="ru-RU" w:bidi="ru-RU"/>
        </w:rPr>
        <w:t xml:space="preserve">Production: The situation is similar to consumption — North America leads by a wide margin, confirming its status as the largest producer and consumer of gas.</w:t>
      </w:r>
      <w:r>
        <w:rPr>
          <w:lang w:val="ru-RU" w:bidi="ru-RU"/>
        </w:rPr>
      </w:r>
      <w:r>
        <w:rPr>
          <w:lang w:val="ru-RU" w:bidi="ru-RU"/>
        </w:rPr>
      </w:r>
    </w:p>
    <w:p w14:paraId="423E58D7">
      <w:pPr>
        <w:pBdr/>
        <w:spacing/>
        <w:ind/>
        <w:rPr>
          <w:highlight w:val="none"/>
          <w:lang w:val="ru-RU" w:bidi="ru-RU"/>
        </w:rPr>
      </w:pPr>
      <w:r>
        <w:rPr>
          <w:highlight w:val="none"/>
          <w:lang w:val="ru-RU" w:bidi="ru-RU"/>
        </w:rPr>
      </w:r>
      <w:r>
        <mc:AlternateContent>
          <mc:Choice Requires="wpg">
            <w:drawing>
              <wp:inline xmlns:wp="http://schemas.openxmlformats.org/drawingml/2006/wordprocessingDrawing" distT="0" distB="0" distL="0" distR="0">
                <wp:extent cx="5943600" cy="3566160"/>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727337" name=""/>
                        <pic:cNvPicPr>
                          <a:picLocks noChangeAspect="1"/>
                        </pic:cNvPicPr>
                        <pic:nvPr/>
                      </pic:nvPicPr>
                      <pic:blipFill rotWithShape="1">
                        <a:blip r:embed="rId15"/>
                        <a:stretch/>
                      </pic:blipFill>
                      <pic:spPr bwMode="auto">
                        <a:xfrm>
                          <a:off x="0" y="0"/>
                          <a:ext cx="5943598" cy="356615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280.80pt;mso-wrap-distance-left:0.00pt;mso-wrap-distance-top:0.00pt;mso-wrap-distance-right:0.00pt;mso-wrap-distance-bottom:0.00pt;z-index:1;" stroked="false">
                <v:imagedata r:id="rId15" o:title=""/>
                <o:lock v:ext="edit" rotation="t"/>
              </v:shape>
            </w:pict>
          </mc:Fallback>
        </mc:AlternateContent>
      </w:r>
      <w:r>
        <w:rPr>
          <w:highlight w:val="none"/>
          <w:lang w:val="ru-RU" w:bidi="ru-RU"/>
        </w:rPr>
      </w:r>
      <w:r>
        <w:rPr>
          <w:highlight w:val="none"/>
          <w:lang w:val="ru-RU" w:bidi="ru-RU"/>
        </w:rPr>
      </w:r>
    </w:p>
    <w:p w14:paraId="1297F411">
      <w:pPr>
        <w:pStyle w:val="985"/>
        <w:pBdr/>
        <w:spacing/>
        <w:ind/>
        <w:rPr/>
      </w:pPr>
      <w:r>
        <w:t xml:space="preserve">Picture </w:t>
      </w:r>
      <w:r>
        <w:fldChar w:fldCharType="begin"/>
        <w:instrText xml:space="preserve"> SEQ Picture \* Arabic </w:instrText>
        <w:fldChar w:fldCharType="separate"/>
      </w:r>
      <w:r>
        <w:t xml:space="preserve">5</w:t>
      </w:r>
      <w:r>
        <w:fldChar w:fldCharType="end"/>
        <w:t xml:space="preserve"> – Gas consumption by region.</w:t>
      </w:r>
      <w:r/>
    </w:p>
    <w:p w14:paraId="33756ECB">
      <w:pPr>
        <w:pBdr/>
        <w:spacing/>
        <w:ind/>
        <w:rPr>
          <w:highlight w:val="none"/>
          <w:lang w:val="ru-RU" w:bidi="ru-RU"/>
        </w:rPr>
      </w:pPr>
      <w:r>
        <w:rPr>
          <w:highlight w:val="none"/>
          <w:lang w:val="ru-RU" w:bidi="ru-RU"/>
        </w:rPr>
      </w:r>
      <w:r>
        <mc:AlternateContent>
          <mc:Choice Requires="wpg">
            <w:drawing>
              <wp:inline xmlns:wp="http://schemas.openxmlformats.org/drawingml/2006/wordprocessingDrawing" distT="0" distB="0" distL="0" distR="0">
                <wp:extent cx="5943600" cy="3566160"/>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068433" name=""/>
                        <pic:cNvPicPr>
                          <a:picLocks noChangeAspect="1"/>
                        </pic:cNvPicPr>
                        <pic:nvPr/>
                      </pic:nvPicPr>
                      <pic:blipFill rotWithShape="1">
                        <a:blip r:embed="rId16"/>
                        <a:stretch/>
                      </pic:blipFill>
                      <pic:spPr bwMode="auto">
                        <a:xfrm>
                          <a:off x="0" y="0"/>
                          <a:ext cx="5943598" cy="356615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280.80pt;mso-wrap-distance-left:0.00pt;mso-wrap-distance-top:0.00pt;mso-wrap-distance-right:0.00pt;mso-wrap-distance-bottom:0.00pt;z-index:1;" stroked="false">
                <v:imagedata r:id="rId16" o:title=""/>
                <o:lock v:ext="edit" rotation="t"/>
              </v:shape>
            </w:pict>
          </mc:Fallback>
        </mc:AlternateContent>
      </w:r>
      <w:r>
        <w:rPr>
          <w:highlight w:val="none"/>
          <w:lang w:val="ru-RU" w:bidi="ru-RU"/>
        </w:rPr>
      </w:r>
      <w:r>
        <w:rPr>
          <w:highlight w:val="none"/>
          <w:lang w:val="ru-RU" w:bidi="ru-RU"/>
        </w:rPr>
      </w:r>
    </w:p>
    <w:p w14:paraId="56F51FDA">
      <w:pPr>
        <w:pStyle w:val="985"/>
        <w:pBdr/>
        <w:spacing/>
        <w:ind/>
        <w:rPr/>
      </w:pPr>
      <w:r>
        <w:t xml:space="preserve">Picture </w:t>
      </w:r>
      <w:r>
        <w:fldChar w:fldCharType="begin"/>
        <w:instrText xml:space="preserve"> SEQ Picture \* Arabic </w:instrText>
        <w:fldChar w:fldCharType="separate"/>
      </w:r>
      <w:r>
        <w:t xml:space="preserve">6</w:t>
      </w:r>
      <w:r>
        <w:fldChar w:fldCharType="end"/>
        <w:t xml:space="preserve"> – Gas production by region.</w:t>
      </w:r>
      <w:r/>
    </w:p>
    <w:p w14:paraId="14410811">
      <w:pPr>
        <w:pStyle w:val="951"/>
        <w:pBdr/>
        <w:spacing/>
        <w:ind/>
        <w:rPr>
          <w:lang w:val="ru-RU" w:bidi="ru-RU"/>
        </w:rPr>
      </w:pPr>
      <w:r/>
      <w:r>
        <w:rPr>
          <w:highlight w:val="none"/>
          <w:lang w:val="ru-RU" w:bidi="ru-RU"/>
        </w:rPr>
        <w:t xml:space="preserve">Coal (Coal)</w:t>
      </w:r>
      <w:r>
        <w:rPr>
          <w:lang w:val="ru-RU" w:bidi="ru-RU"/>
        </w:rPr>
      </w:r>
      <w:r>
        <w:rPr>
          <w:lang w:val="ru-RU" w:bidi="ru-RU"/>
        </w:rPr>
      </w:r>
      <w:r>
        <w:rPr>
          <w:lang w:val="ru-RU" w:bidi="ru-RU"/>
        </w:rPr>
      </w:r>
    </w:p>
    <w:p w14:paraId="599FB8E5">
      <w:pPr>
        <w:pBdr/>
        <w:spacing/>
        <w:ind/>
        <w:rPr>
          <w:highlight w:val="none"/>
          <w:lang w:val="ru-RU" w:bidi="ru-RU"/>
        </w:rPr>
      </w:pPr>
      <w:r>
        <w:rPr>
          <w:highlight w:val="none"/>
          <w:lang w:val="ru-RU" w:bidi="ru-RU"/>
        </w:rPr>
      </w:r>
      <w:r>
        <w:rPr>
          <w:highlight w:val="none"/>
          <w:lang w:val="ru-RU" w:bidi="ru-RU"/>
        </w:rPr>
        <w:t xml:space="preserve">C</w:t>
      </w:r>
      <w:r>
        <w:rPr>
          <w:highlight w:val="none"/>
          <w:lang w:val="ru-RU" w:bidi="ru-RU"/>
        </w:rPr>
        <w:t xml:space="preserve">onsumption and production: The graphs clearly show the anomalous gap in the East Asia &amp; Pacific region. The huge number of outliers in this region indicates that there are countries within it (probably China) whose scale of activity exceeds the global aver</w:t>
      </w:r>
      <w:r>
        <w:rPr>
          <w:highlight w:val="none"/>
          <w:lang w:val="ru-RU" w:bidi="ru-RU"/>
        </w:rPr>
        <w:t xml:space="preserve">age by tens of times.</w:t>
      </w:r>
      <w:r>
        <w:rPr>
          <w:highlight w:val="none"/>
          <w:lang w:val="ru-RU" w:bidi="ru-RU"/>
        </w:rPr>
      </w:r>
      <w:r>
        <w:rPr>
          <w:highlight w:val="none"/>
          <w:lang w:val="ru-RU" w:bidi="ru-RU"/>
        </w:rPr>
      </w:r>
    </w:p>
    <w:p w14:paraId="600C995B">
      <w:pPr>
        <w:pBdr/>
        <w:spacing/>
        <w:ind/>
        <w:rPr>
          <w:highlight w:val="none"/>
          <w:lang w:val="ru-RU" w:bidi="ru-RU"/>
        </w:rPr>
      </w:pPr>
      <w:r>
        <w:rPr>
          <w:highlight w:val="none"/>
          <w:lang w:val="ru-RU" w:bidi="ru-RU"/>
        </w:rPr>
      </w:r>
      <w:r>
        <mc:AlternateContent>
          <mc:Choice Requires="wpg">
            <w:drawing>
              <wp:inline xmlns:wp="http://schemas.openxmlformats.org/drawingml/2006/wordprocessingDrawing" distT="0" distB="0" distL="0" distR="0">
                <wp:extent cx="5943600" cy="3566160"/>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199063" name=""/>
                        <pic:cNvPicPr>
                          <a:picLocks noChangeAspect="1"/>
                        </pic:cNvPicPr>
                        <pic:nvPr/>
                      </pic:nvPicPr>
                      <pic:blipFill rotWithShape="1">
                        <a:blip r:embed="rId17"/>
                        <a:stretch/>
                      </pic:blipFill>
                      <pic:spPr bwMode="auto">
                        <a:xfrm>
                          <a:off x="0" y="0"/>
                          <a:ext cx="5943598" cy="356615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8.00pt;height:280.80pt;mso-wrap-distance-left:0.00pt;mso-wrap-distance-top:0.00pt;mso-wrap-distance-right:0.00pt;mso-wrap-distance-bottom:0.00pt;z-index:1;" stroked="false">
                <v:imagedata r:id="rId17" o:title=""/>
                <o:lock v:ext="edit" rotation="t"/>
              </v:shape>
            </w:pict>
          </mc:Fallback>
        </mc:AlternateContent>
      </w:r>
      <w:r>
        <w:rPr>
          <w:highlight w:val="none"/>
          <w:lang w:val="ru-RU" w:bidi="ru-RU"/>
        </w:rPr>
      </w:r>
      <w:r>
        <w:rPr>
          <w:highlight w:val="none"/>
          <w:lang w:val="ru-RU" w:bidi="ru-RU"/>
        </w:rPr>
      </w:r>
    </w:p>
    <w:p w14:paraId="6FF21A20">
      <w:pPr>
        <w:pStyle w:val="985"/>
        <w:pBdr/>
        <w:spacing/>
        <w:ind/>
        <w:rPr/>
      </w:pPr>
      <w:r>
        <w:t xml:space="preserve">Picture </w:t>
      </w:r>
      <w:r>
        <w:fldChar w:fldCharType="begin"/>
        <w:instrText xml:space="preserve"> SEQ Picture \* Arabic </w:instrText>
        <w:fldChar w:fldCharType="separate"/>
      </w:r>
      <w:r>
        <w:t xml:space="preserve">7</w:t>
      </w:r>
      <w:r>
        <w:fldChar w:fldCharType="end"/>
        <w:t xml:space="preserve"> – Coal Consumption by region.</w:t>
      </w:r>
      <w:r/>
    </w:p>
    <w:p w14:paraId="24733B3F">
      <w:pPr>
        <w:pBdr/>
        <w:spacing/>
        <w:ind/>
        <w:rPr>
          <w:highlight w:val="none"/>
          <w:lang w:val="ru-RU" w:bidi="ru-RU"/>
        </w:rPr>
      </w:pPr>
      <w:r>
        <w:rPr>
          <w:highlight w:val="none"/>
          <w:lang w:val="ru-RU" w:bidi="ru-RU"/>
        </w:rPr>
      </w:r>
      <w:r>
        <mc:AlternateContent>
          <mc:Choice Requires="wpg">
            <w:drawing>
              <wp:inline xmlns:wp="http://schemas.openxmlformats.org/drawingml/2006/wordprocessingDrawing" distT="0" distB="0" distL="0" distR="0">
                <wp:extent cx="5943600" cy="3566160"/>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333586" name=""/>
                        <pic:cNvPicPr>
                          <a:picLocks noChangeAspect="1"/>
                        </pic:cNvPicPr>
                        <pic:nvPr/>
                      </pic:nvPicPr>
                      <pic:blipFill rotWithShape="1">
                        <a:blip r:embed="rId18"/>
                        <a:stretch/>
                      </pic:blipFill>
                      <pic:spPr bwMode="auto">
                        <a:xfrm>
                          <a:off x="0" y="0"/>
                          <a:ext cx="5943598" cy="356615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8.00pt;height:280.80pt;mso-wrap-distance-left:0.00pt;mso-wrap-distance-top:0.00pt;mso-wrap-distance-right:0.00pt;mso-wrap-distance-bottom:0.00pt;z-index:1;" stroked="false">
                <v:imagedata r:id="rId18" o:title=""/>
                <o:lock v:ext="edit" rotation="t"/>
              </v:shape>
            </w:pict>
          </mc:Fallback>
        </mc:AlternateContent>
      </w:r>
      <w:r>
        <w:rPr>
          <w:highlight w:val="none"/>
          <w:lang w:val="ru-RU" w:bidi="ru-RU"/>
        </w:rPr>
      </w:r>
      <w:r>
        <w:rPr>
          <w:highlight w:val="none"/>
          <w:lang w:val="ru-RU" w:bidi="ru-RU"/>
        </w:rPr>
      </w:r>
    </w:p>
    <w:p w14:paraId="76818E9F">
      <w:pPr>
        <w:pStyle w:val="985"/>
        <w:pBdr/>
        <w:spacing/>
        <w:ind/>
        <w:rPr/>
      </w:pPr>
      <w:r>
        <w:t xml:space="preserve">Picture </w:t>
      </w:r>
      <w:r>
        <w:fldChar w:fldCharType="begin"/>
        <w:instrText xml:space="preserve"> SEQ Picture \* Arabic </w:instrText>
        <w:fldChar w:fldCharType="separate"/>
      </w:r>
      <w:r>
        <w:t xml:space="preserve">8</w:t>
      </w:r>
      <w:r>
        <w:fldChar w:fldCharType="end"/>
        <w:t xml:space="preserve"> – Coal production by region.</w:t>
      </w:r>
      <w:r/>
    </w:p>
    <w:p w14:paraId="17A57B10">
      <w:pPr>
        <w:pStyle w:val="951"/>
        <w:pBdr/>
        <w:spacing/>
        <w:ind/>
        <w:rPr>
          <w:lang w:val="ru-RU" w:bidi="ru-RU"/>
        </w:rPr>
      </w:pPr>
      <w:r/>
      <w:r>
        <w:rPr>
          <w:highlight w:val="none"/>
          <w:lang w:val="ru-RU" w:bidi="ru-RU"/>
        </w:rPr>
        <w:t xml:space="preserve">CO2 emissions</w:t>
      </w:r>
      <w:r>
        <w:rPr>
          <w:lang w:val="ru-RU" w:bidi="ru-RU"/>
        </w:rPr>
      </w:r>
      <w:r>
        <w:rPr>
          <w:lang w:val="ru-RU" w:bidi="ru-RU"/>
        </w:rPr>
      </w:r>
      <w:r>
        <w:rPr>
          <w:lang w:val="ru-RU" w:bidi="ru-RU"/>
        </w:rPr>
      </w:r>
    </w:p>
    <w:p w14:paraId="6B78CA15">
      <w:pPr>
        <w:pBdr/>
        <w:spacing/>
        <w:ind/>
        <w:rPr>
          <w:highlight w:val="none"/>
          <w:lang w:val="ru-RU" w:bidi="ru-RU"/>
        </w:rPr>
      </w:pPr>
      <w:r>
        <w:rPr>
          <w:highlight w:val="none"/>
          <w:lang w:val="ru-RU" w:bidi="ru-RU"/>
        </w:rPr>
      </w:r>
      <w:r>
        <w:rPr>
          <w:highlight w:val="none"/>
          <w:lang w:val="ru-RU" w:bidi="ru-RU"/>
        </w:rPr>
        <w:t xml:space="preserve">The main concentration of emissions is recorded in East Asia &amp; Pacific and North America. At the same time, the most extreme point values are observed in Asia.</w:t>
      </w:r>
      <w:r>
        <w:rPr>
          <w:highlight w:val="none"/>
          <w:lang w:val="ru-RU" w:bidi="ru-RU"/>
        </w:rPr>
      </w:r>
      <w:r>
        <w:rPr>
          <w:highlight w:val="none"/>
          <w:lang w:val="ru-RU" w:bidi="ru-RU"/>
        </w:rPr>
      </w:r>
    </w:p>
    <w:p w14:paraId="08E052E8">
      <w:pPr>
        <w:pBdr/>
        <w:spacing/>
        <w:ind/>
        <w:rPr>
          <w:highlight w:val="none"/>
          <w:lang w:val="ru-RU" w:bidi="ru-RU"/>
        </w:rPr>
      </w:pPr>
      <w:r>
        <w:rPr>
          <w:highlight w:val="none"/>
          <w:lang w:val="ru-RU" w:bidi="ru-RU"/>
        </w:rPr>
      </w:r>
      <w:r>
        <mc:AlternateContent>
          <mc:Choice Requires="wpg">
            <w:drawing>
              <wp:inline xmlns:wp="http://schemas.openxmlformats.org/drawingml/2006/wordprocessingDrawing" distT="0" distB="0" distL="0" distR="0">
                <wp:extent cx="5943600" cy="3566160"/>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761819" name=""/>
                        <pic:cNvPicPr>
                          <a:picLocks noChangeAspect="1"/>
                        </pic:cNvPicPr>
                        <pic:nvPr/>
                      </pic:nvPicPr>
                      <pic:blipFill rotWithShape="1">
                        <a:blip r:embed="rId19"/>
                        <a:stretch/>
                      </pic:blipFill>
                      <pic:spPr bwMode="auto">
                        <a:xfrm>
                          <a:off x="0" y="0"/>
                          <a:ext cx="5943598" cy="356615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8.00pt;height:280.80pt;mso-wrap-distance-left:0.00pt;mso-wrap-distance-top:0.00pt;mso-wrap-distance-right:0.00pt;mso-wrap-distance-bottom:0.00pt;z-index:1;" stroked="false">
                <v:imagedata r:id="rId19" o:title=""/>
                <o:lock v:ext="edit" rotation="t"/>
              </v:shape>
            </w:pict>
          </mc:Fallback>
        </mc:AlternateContent>
      </w:r>
      <w:r>
        <w:rPr>
          <w:highlight w:val="none"/>
          <w:lang w:val="ru-RU" w:bidi="ru-RU"/>
        </w:rPr>
      </w:r>
      <w:r>
        <w:rPr>
          <w:highlight w:val="none"/>
          <w:lang w:val="ru-RU" w:bidi="ru-RU"/>
        </w:rPr>
      </w:r>
    </w:p>
    <w:p w14:paraId="7AAAC9C7">
      <w:pPr>
        <w:pStyle w:val="985"/>
        <w:pBdr/>
        <w:spacing/>
        <w:ind/>
        <w:rPr/>
      </w:pPr>
      <w:r>
        <w:t xml:space="preserve">Picture </w:t>
      </w:r>
      <w:r>
        <w:fldChar w:fldCharType="begin"/>
        <w:instrText xml:space="preserve"> SEQ Picture \* Arabic </w:instrText>
        <w:fldChar w:fldCharType="separate"/>
      </w:r>
      <w:r>
        <w:t xml:space="preserve">9</w:t>
      </w:r>
      <w:r>
        <w:fldChar w:fldCharType="end"/>
        <w:t xml:space="preserve"> – CO2 emissions by region.</w:t>
      </w:r>
      <w:r/>
    </w:p>
    <w:p w14:paraId="116D2AA2">
      <w:pPr>
        <w:pStyle w:val="950"/>
        <w:pBdr/>
        <w:spacing/>
        <w:ind/>
        <w:rPr>
          <w:lang w:val="ru-RU" w:bidi="ru-RU"/>
        </w:rPr>
      </w:pPr>
      <w:r/>
      <w:r>
        <w:rPr>
          <w:highlight w:val="none"/>
          <w:lang w:val="ru-RU" w:bidi="ru-RU"/>
        </w:rPr>
        <w:t xml:space="preserve">2. Comparison of market leaders (T-tests)</w:t>
      </w:r>
      <w:r>
        <w:rPr>
          <w:lang w:val="ru-RU" w:bidi="ru-RU"/>
        </w:rPr>
      </w:r>
      <w:r>
        <w:rPr>
          <w:lang w:val="ru-RU" w:bidi="ru-RU"/>
        </w:rPr>
      </w:r>
      <w:r>
        <w:rPr>
          <w:lang w:val="ru-RU" w:bidi="ru-RU"/>
        </w:rPr>
      </w:r>
    </w:p>
    <w:p w14:paraId="230E3BCF">
      <w:pPr>
        <w:pBdr/>
        <w:spacing/>
        <w:ind/>
        <w:rPr>
          <w:highlight w:val="none"/>
          <w:lang w:val="ru-RU" w:bidi="ru-RU"/>
        </w:rPr>
      </w:pPr>
      <w:r>
        <w:rPr>
          <w:highlight w:val="none"/>
          <w:lang w:val="ru-RU" w:bidi="ru-RU"/>
        </w:rPr>
      </w:r>
      <w:r>
        <w:rPr>
          <w:highlight w:val="none"/>
          <w:lang w:val="ru-RU" w:bidi="ru-RU"/>
        </w:rPr>
        <w:t xml:space="preserve">We compared the two largest countries in each category to see if the gap between them was statistically significant.</w:t>
      </w:r>
      <w:r>
        <w:rPr>
          <w:highlight w:val="none"/>
          <w:lang w:val="ru-RU" w:bidi="ru-RU"/>
        </w:rPr>
      </w:r>
      <w:r>
        <w:rPr>
          <w:highlight w:val="none"/>
          <w:lang w:val="ru-RU" w:bidi="ru-RU"/>
        </w:rPr>
      </w:r>
    </w:p>
    <w:p w14:paraId="7F51609A">
      <w:pPr>
        <w:pStyle w:val="951"/>
        <w:pBdr/>
        <w:spacing/>
        <w:ind/>
        <w:rPr>
          <w:lang w:val="ru-RU" w:bidi="ru-RU"/>
        </w:rPr>
      </w:pPr>
      <w:r/>
      <w:r>
        <w:rPr>
          <w:highlight w:val="none"/>
          <w:lang w:val="ru-RU" w:bidi="ru-RU"/>
        </w:rPr>
        <w:t xml:space="preserve">Coal industry (China vs. USA)</w:t>
      </w:r>
      <w:r>
        <w:rPr>
          <w:lang w:val="ru-RU" w:bidi="ru-RU"/>
        </w:rPr>
      </w:r>
      <w:r>
        <w:rPr>
          <w:lang w:val="ru-RU" w:bidi="ru-RU"/>
        </w:rPr>
      </w:r>
      <w:r>
        <w:rPr>
          <w:lang w:val="ru-RU" w:bidi="ru-RU"/>
        </w:rPr>
      </w:r>
    </w:p>
    <w:p w14:paraId="7BFAEF4F">
      <w:pPr>
        <w:pStyle w:val="1010"/>
        <w:numPr>
          <w:ilvl w:val="0"/>
          <w:numId w:val="42"/>
        </w:numPr>
        <w:pBdr/>
        <w:spacing/>
        <w:ind/>
        <w:rPr/>
      </w:pPr>
      <w:r>
        <w:rPr>
          <w:highlight w:val="none"/>
          <w:lang w:val="ru-RU" w:bidi="ru-RU"/>
        </w:rPr>
        <w:t xml:space="preserve">Production: The difference between China and the USA is on the verge of statistical significance (p=0.054). This suggests that, historically, their production volumes have been comparable, although China is in the lead.</w:t>
      </w:r>
      <w:r/>
    </w:p>
    <w:p w14:paraId="1FB50D36">
      <w:pPr>
        <w:pStyle w:val="1010"/>
        <w:numPr>
          <w:ilvl w:val="0"/>
          <w:numId w:val="42"/>
        </w:numPr>
        <w:pBdr/>
        <w:spacing/>
        <w:ind/>
        <w:rPr>
          <w:lang w:val="ru-RU" w:bidi="ru-RU"/>
        </w:rPr>
      </w:pPr>
      <w:r>
        <w:rPr>
          <w:highlight w:val="none"/>
          <w:lang w:val="ru-RU" w:bidi="ru-RU"/>
        </w:rPr>
        <w:t xml:space="preserve">Consumption: Here, the gap is critical (p=0.000). China consumes coal in volumes that exceed those of the US many times over.</w:t>
      </w:r>
      <w:r>
        <w:rPr>
          <w:lang w:val="ru-RU" w:bidi="ru-RU"/>
        </w:rPr>
      </w:r>
      <w:r>
        <w:rPr>
          <w:lang w:val="ru-RU" w:bidi="ru-RU"/>
        </w:rPr>
      </w:r>
    </w:p>
    <w:p w14:paraId="64B9F501">
      <w:pPr>
        <w:pBdr/>
        <w:spacing/>
        <w:ind/>
        <w:rPr>
          <w:highlight w:val="none"/>
          <w:lang w:val="ru-RU" w:bidi="ru-RU"/>
        </w:rPr>
      </w:pPr>
      <w:r>
        <w:rPr>
          <w:highlight w:val="none"/>
          <w:lang w:val="ru-RU" w:bidi="ru-RU"/>
        </w:rPr>
      </w:r>
      <w:r>
        <mc:AlternateContent>
          <mc:Choice Requires="wpg">
            <w:drawing>
              <wp:inline xmlns:wp="http://schemas.openxmlformats.org/drawingml/2006/wordprocessingDrawing" distT="0" distB="0" distL="0" distR="0">
                <wp:extent cx="5715000" cy="3810000"/>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75807" name=""/>
                        <pic:cNvPicPr>
                          <a:picLocks noChangeAspect="1"/>
                        </pic:cNvPicPr>
                        <pic:nvPr/>
                      </pic:nvPicPr>
                      <pic:blipFill rotWithShape="1">
                        <a:blip r:embed="rId20"/>
                        <a:stretch/>
                      </pic:blipFill>
                      <pic:spPr bwMode="auto">
                        <a:xfrm>
                          <a:off x="0" y="0"/>
                          <a:ext cx="5715000" cy="38099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50.00pt;height:300.00pt;mso-wrap-distance-left:0.00pt;mso-wrap-distance-top:0.00pt;mso-wrap-distance-right:0.00pt;mso-wrap-distance-bottom:0.00pt;z-index:1;" stroked="false">
                <v:imagedata r:id="rId20" o:title=""/>
                <o:lock v:ext="edit" rotation="t"/>
              </v:shape>
            </w:pict>
          </mc:Fallback>
        </mc:AlternateContent>
      </w:r>
      <w:r>
        <w:rPr>
          <w:highlight w:val="none"/>
          <w:lang w:val="ru-RU" w:bidi="ru-RU"/>
        </w:rPr>
      </w:r>
      <w:r>
        <w:rPr>
          <w:highlight w:val="none"/>
          <w:lang w:val="ru-RU" w:bidi="ru-RU"/>
        </w:rPr>
      </w:r>
    </w:p>
    <w:p w14:paraId="4BF00A8F">
      <w:pPr>
        <w:pStyle w:val="985"/>
        <w:pBdr/>
        <w:spacing/>
        <w:ind/>
        <w:rPr/>
      </w:pPr>
      <w:r>
        <w:t xml:space="preserve">Picture </w:t>
      </w:r>
      <w:r>
        <w:fldChar w:fldCharType="begin"/>
        <w:instrText xml:space="preserve"> SEQ Picture \* Arabic </w:instrText>
        <w:fldChar w:fldCharType="separate"/>
      </w:r>
      <w:r>
        <w:t xml:space="preserve">10</w:t>
      </w:r>
      <w:r>
        <w:fldChar w:fldCharType="end"/>
        <w:t xml:space="preserve"> – Coal production top 2 countries.</w:t>
      </w:r>
      <w:r/>
    </w:p>
    <w:p w14:paraId="10622D9E">
      <w:pPr>
        <w:pBdr/>
        <w:spacing/>
        <w:ind/>
        <w:rPr/>
      </w:pPr>
      <w:r/>
      <w:r/>
    </w:p>
    <w:p w14:paraId="27A84899">
      <w:pPr>
        <w:pBdr/>
        <w:spacing/>
        <w:ind/>
        <w:rPr>
          <w:highlight w:val="none"/>
          <w:lang w:val="ru-RU" w:bidi="ru-RU"/>
        </w:rPr>
      </w:pPr>
      <w:r>
        <w:rPr>
          <w:highlight w:val="none"/>
          <w:lang w:val="ru-RU" w:bidi="ru-RU"/>
        </w:rPr>
      </w:r>
      <w:r>
        <mc:AlternateContent>
          <mc:Choice Requires="wpg">
            <w:drawing>
              <wp:inline xmlns:wp="http://schemas.openxmlformats.org/drawingml/2006/wordprocessingDrawing" distT="0" distB="0" distL="0" distR="0">
                <wp:extent cx="5715000" cy="3810000"/>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380156" name=""/>
                        <pic:cNvPicPr>
                          <a:picLocks noChangeAspect="1"/>
                        </pic:cNvPicPr>
                        <pic:nvPr/>
                      </pic:nvPicPr>
                      <pic:blipFill rotWithShape="1">
                        <a:blip r:embed="rId21"/>
                        <a:stretch/>
                      </pic:blipFill>
                      <pic:spPr bwMode="auto">
                        <a:xfrm>
                          <a:off x="0" y="0"/>
                          <a:ext cx="5715000" cy="38099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50.00pt;height:300.00pt;mso-wrap-distance-left:0.00pt;mso-wrap-distance-top:0.00pt;mso-wrap-distance-right:0.00pt;mso-wrap-distance-bottom:0.00pt;z-index:1;" stroked="false">
                <v:imagedata r:id="rId21" o:title=""/>
                <o:lock v:ext="edit" rotation="t"/>
              </v:shape>
            </w:pict>
          </mc:Fallback>
        </mc:AlternateContent>
      </w:r>
      <w:r>
        <w:rPr>
          <w:highlight w:val="none"/>
          <w:lang w:val="ru-RU" w:bidi="ru-RU"/>
        </w:rPr>
      </w:r>
      <w:r>
        <w:rPr>
          <w:highlight w:val="none"/>
          <w:lang w:val="ru-RU" w:bidi="ru-RU"/>
        </w:rPr>
      </w:r>
    </w:p>
    <w:p w14:paraId="14C2754B">
      <w:pPr>
        <w:pStyle w:val="985"/>
        <w:pBdr/>
        <w:spacing/>
        <w:ind/>
        <w:rPr/>
      </w:pPr>
      <w:r>
        <w:t xml:space="preserve">Picture </w:t>
      </w:r>
      <w:r>
        <w:fldChar w:fldCharType="begin"/>
        <w:instrText xml:space="preserve"> SEQ Picture \* Arabic </w:instrText>
        <w:fldChar w:fldCharType="separate"/>
      </w:r>
      <w:r>
        <w:t xml:space="preserve">11</w:t>
      </w:r>
      <w:r>
        <w:fldChar w:fldCharType="end"/>
        <w:t xml:space="preserve"> – Coal consumption top 2 countires.</w:t>
      </w:r>
      <w:r/>
    </w:p>
    <w:p w14:paraId="266406C7">
      <w:pPr>
        <w:pStyle w:val="951"/>
        <w:pBdr/>
        <w:spacing/>
        <w:ind/>
        <w:rPr>
          <w:lang w:val="ru-RU" w:bidi="ru-RU"/>
        </w:rPr>
      </w:pPr>
      <w:r/>
      <w:r>
        <w:rPr>
          <w:highlight w:val="none"/>
          <w:lang w:val="ru-RU" w:bidi="ru-RU"/>
        </w:rPr>
        <w:t xml:space="preserve">Gas industry (Russia vs USA)</w:t>
      </w:r>
      <w:r>
        <w:rPr>
          <w:lang w:val="ru-RU" w:bidi="ru-RU"/>
        </w:rPr>
      </w:r>
      <w:r>
        <w:rPr>
          <w:lang w:val="ru-RU" w:bidi="ru-RU"/>
        </w:rPr>
      </w:r>
      <w:r>
        <w:rPr>
          <w:lang w:val="ru-RU" w:bidi="ru-RU"/>
        </w:rPr>
      </w:r>
    </w:p>
    <w:p w14:paraId="00E6396F">
      <w:pPr>
        <w:pStyle w:val="1010"/>
        <w:numPr>
          <w:ilvl w:val="0"/>
          <w:numId w:val="43"/>
        </w:numPr>
        <w:pBdr/>
        <w:spacing/>
        <w:ind/>
        <w:rPr/>
      </w:pPr>
      <w:r>
        <w:rPr>
          <w:highlight w:val="none"/>
          <w:lang w:val="ru-RU" w:bidi="ru-RU"/>
        </w:rPr>
        <w:t xml:space="preserve">Production: The T-test showed p=0.777. This is a crucial insight: there is no statistically significant difference in gas production volumes between Russia and the USA over the entire observation period. They are equal giants in the market.</w:t>
      </w:r>
      <w:r/>
    </w:p>
    <w:p w14:paraId="0C168B55">
      <w:pPr>
        <w:pStyle w:val="1010"/>
        <w:numPr>
          <w:ilvl w:val="0"/>
          <w:numId w:val="43"/>
        </w:numPr>
        <w:pBdr/>
        <w:spacing/>
        <w:ind/>
        <w:rPr>
          <w:lang w:val="ru-RU" w:bidi="ru-RU"/>
        </w:rPr>
      </w:pPr>
      <w:r>
        <w:rPr>
          <w:highlight w:val="none"/>
          <w:lang w:val="ru-RU" w:bidi="ru-RU"/>
        </w:rPr>
        <w:t xml:space="preserve">Consumption: Despite similar production levels, the USA consumes significantly more gas than Russia (p=0.000).</w:t>
      </w:r>
      <w:r>
        <w:rPr>
          <w:lang w:val="ru-RU" w:bidi="ru-RU"/>
        </w:rPr>
      </w:r>
      <w:r>
        <w:rPr>
          <w:lang w:val="ru-RU" w:bidi="ru-RU"/>
        </w:rPr>
      </w:r>
    </w:p>
    <w:p w14:paraId="2E8EA444">
      <w:pPr>
        <w:pBdr/>
        <w:spacing/>
        <w:ind/>
        <w:rPr>
          <w:highlight w:val="none"/>
          <w:lang w:val="ru-RU" w:bidi="ru-RU"/>
        </w:rPr>
      </w:pPr>
      <w:r>
        <w:rPr>
          <w:highlight w:val="none"/>
          <w:lang w:val="ru-RU" w:bidi="ru-RU"/>
        </w:rPr>
      </w:r>
      <w:r>
        <mc:AlternateContent>
          <mc:Choice Requires="wpg">
            <w:drawing>
              <wp:inline xmlns:wp="http://schemas.openxmlformats.org/drawingml/2006/wordprocessingDrawing" distT="0" distB="0" distL="0" distR="0">
                <wp:extent cx="5715000" cy="3810000"/>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372805" name=""/>
                        <pic:cNvPicPr>
                          <a:picLocks noChangeAspect="1"/>
                        </pic:cNvPicPr>
                        <pic:nvPr/>
                      </pic:nvPicPr>
                      <pic:blipFill rotWithShape="1">
                        <a:blip r:embed="rId22"/>
                        <a:stretch/>
                      </pic:blipFill>
                      <pic:spPr bwMode="auto">
                        <a:xfrm>
                          <a:off x="0" y="0"/>
                          <a:ext cx="5715000" cy="38099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50.00pt;height:300.00pt;mso-wrap-distance-left:0.00pt;mso-wrap-distance-top:0.00pt;mso-wrap-distance-right:0.00pt;mso-wrap-distance-bottom:0.00pt;z-index:1;" stroked="false">
                <v:imagedata r:id="rId22" o:title=""/>
                <o:lock v:ext="edit" rotation="t"/>
              </v:shape>
            </w:pict>
          </mc:Fallback>
        </mc:AlternateContent>
      </w:r>
      <w:r>
        <w:rPr>
          <w:highlight w:val="none"/>
          <w:lang w:val="ru-RU" w:bidi="ru-RU"/>
        </w:rPr>
      </w:r>
      <w:r>
        <w:rPr>
          <w:highlight w:val="none"/>
          <w:lang w:val="ru-RU" w:bidi="ru-RU"/>
        </w:rPr>
      </w:r>
    </w:p>
    <w:p w14:paraId="04586C01">
      <w:pPr>
        <w:pStyle w:val="985"/>
        <w:pBdr/>
        <w:spacing/>
        <w:ind/>
        <w:rPr/>
      </w:pPr>
      <w:r>
        <w:t xml:space="preserve">Picture </w:t>
      </w:r>
      <w:r>
        <w:fldChar w:fldCharType="begin"/>
        <w:instrText xml:space="preserve"> SEQ Picture \* Arabic </w:instrText>
        <w:fldChar w:fldCharType="separate"/>
      </w:r>
      <w:r>
        <w:t xml:space="preserve">12</w:t>
      </w:r>
      <w:r>
        <w:fldChar w:fldCharType="end"/>
        <w:t xml:space="preserve"> – Gas production top 2 countries.</w:t>
      </w:r>
      <w:r/>
    </w:p>
    <w:p w14:paraId="5AC8AD9D">
      <w:pPr>
        <w:pBdr/>
        <w:spacing/>
        <w:ind/>
        <w:rPr/>
      </w:pPr>
      <w:r/>
      <w:r/>
    </w:p>
    <w:p w14:paraId="6537F937">
      <w:pPr>
        <w:pBdr/>
        <w:spacing/>
        <w:ind/>
        <w:rPr>
          <w:highlight w:val="none"/>
          <w:lang w:val="ru-RU" w:bidi="ru-RU"/>
        </w:rPr>
      </w:pPr>
      <w:r>
        <w:rPr>
          <w:highlight w:val="none"/>
          <w:lang w:val="ru-RU" w:bidi="ru-RU"/>
        </w:rPr>
      </w:r>
      <w:r>
        <mc:AlternateContent>
          <mc:Choice Requires="wpg">
            <w:drawing>
              <wp:inline xmlns:wp="http://schemas.openxmlformats.org/drawingml/2006/wordprocessingDrawing" distT="0" distB="0" distL="0" distR="0">
                <wp:extent cx="5715000" cy="3810000"/>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304625" name=""/>
                        <pic:cNvPicPr>
                          <a:picLocks noChangeAspect="1"/>
                        </pic:cNvPicPr>
                        <pic:nvPr/>
                      </pic:nvPicPr>
                      <pic:blipFill rotWithShape="1">
                        <a:blip r:embed="rId23"/>
                        <a:stretch/>
                      </pic:blipFill>
                      <pic:spPr bwMode="auto">
                        <a:xfrm>
                          <a:off x="0" y="0"/>
                          <a:ext cx="5715000" cy="38099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50.00pt;height:300.00pt;mso-wrap-distance-left:0.00pt;mso-wrap-distance-top:0.00pt;mso-wrap-distance-right:0.00pt;mso-wrap-distance-bottom:0.00pt;z-index:1;" stroked="false">
                <v:imagedata r:id="rId23" o:title=""/>
                <o:lock v:ext="edit" rotation="t"/>
              </v:shape>
            </w:pict>
          </mc:Fallback>
        </mc:AlternateContent>
      </w:r>
      <w:r>
        <w:rPr>
          <w:highlight w:val="none"/>
          <w:lang w:val="ru-RU" w:bidi="ru-RU"/>
        </w:rPr>
      </w:r>
      <w:r>
        <w:rPr>
          <w:highlight w:val="none"/>
          <w:lang w:val="ru-RU" w:bidi="ru-RU"/>
        </w:rPr>
      </w:r>
    </w:p>
    <w:p w14:paraId="103CCEF9">
      <w:pPr>
        <w:pStyle w:val="985"/>
        <w:pBdr/>
        <w:spacing/>
        <w:ind/>
        <w:rPr/>
      </w:pPr>
      <w:r>
        <w:t xml:space="preserve">Picture </w:t>
      </w:r>
      <w:r>
        <w:fldChar w:fldCharType="begin"/>
        <w:instrText xml:space="preserve"> SEQ Picture \* Arabic </w:instrText>
        <w:fldChar w:fldCharType="separate"/>
      </w:r>
      <w:r>
        <w:t xml:space="preserve">13</w:t>
      </w:r>
      <w:r>
        <w:fldChar w:fldCharType="end"/>
        <w:t xml:space="preserve"> – Gas consumption top 2 countries.</w:t>
      </w:r>
      <w:r/>
    </w:p>
    <w:p w14:paraId="4ADBD117">
      <w:pPr>
        <w:pBdr/>
        <w:spacing/>
        <w:ind/>
        <w:rPr>
          <w:lang w:val="ru-RU" w:bidi="ru-RU"/>
        </w:rPr>
      </w:pPr>
      <w:r>
        <w:rPr>
          <w:lang w:val="ru-RU" w:bidi="ru-RU"/>
        </w:rPr>
      </w:r>
      <w:r>
        <w:rPr>
          <w:lang w:val="ru-RU" w:bidi="ru-RU"/>
        </w:rPr>
      </w:r>
      <w:r>
        <w:rPr>
          <w:lang w:val="ru-RU" w:bidi="ru-RU"/>
        </w:rPr>
      </w:r>
    </w:p>
    <w:p w14:paraId="2E289B8C">
      <w:pPr>
        <w:pStyle w:val="951"/>
        <w:pBdr/>
        <w:spacing/>
        <w:ind/>
        <w:rPr>
          <w:lang w:val="ru-RU" w:bidi="ru-RU"/>
        </w:rPr>
      </w:pPr>
      <w:r/>
      <w:r>
        <w:rPr>
          <w:highlight w:val="none"/>
          <w:lang w:val="ru-RU" w:bidi="ru-RU"/>
        </w:rPr>
        <w:t xml:space="preserve">Emissions (China vs USA)</w:t>
      </w:r>
      <w:r>
        <w:rPr>
          <w:lang w:val="ru-RU" w:bidi="ru-RU"/>
        </w:rPr>
      </w:r>
      <w:r>
        <w:rPr>
          <w:lang w:val="ru-RU" w:bidi="ru-RU"/>
        </w:rPr>
      </w:r>
      <w:r>
        <w:rPr>
          <w:lang w:val="ru-RU" w:bidi="ru-RU"/>
        </w:rPr>
      </w:r>
    </w:p>
    <w:p w14:paraId="36AAA2A4">
      <w:pPr>
        <w:pBdr/>
        <w:spacing/>
        <w:ind/>
        <w:rPr>
          <w:highlight w:val="none"/>
          <w:lang w:val="ru-RU" w:bidi="ru-RU"/>
        </w:rPr>
      </w:pPr>
      <w:r>
        <w:rPr>
          <w:highlight w:val="none"/>
          <w:lang w:val="ru-RU" w:bidi="ru-RU"/>
        </w:rPr>
      </w:r>
      <w:r>
        <w:rPr>
          <w:highlight w:val="none"/>
          <w:lang w:val="ru-RU" w:bidi="ru-RU"/>
        </w:rPr>
        <w:t xml:space="preserve">China significantly exceeds the USA in total CO2 emissions (p=0.000), which directly correlates with abnormally high coal consumption in this region.</w:t>
      </w:r>
      <w:r>
        <w:rPr>
          <w:highlight w:val="none"/>
          <w:lang w:val="ru-RU" w:bidi="ru-RU"/>
        </w:rPr>
      </w:r>
      <w:r>
        <w:rPr>
          <w:highlight w:val="none"/>
          <w:lang w:val="ru-RU" w:bidi="ru-RU"/>
        </w:rPr>
      </w:r>
    </w:p>
    <w:p w14:paraId="1037DB11">
      <w:pPr>
        <w:pBdr/>
        <w:spacing/>
        <w:ind/>
        <w:rPr>
          <w:highlight w:val="none"/>
          <w:lang w:val="ru-RU" w:bidi="ru-RU"/>
        </w:rPr>
      </w:pPr>
      <w:r>
        <w:rPr>
          <w:highlight w:val="none"/>
          <w:lang w:val="ru-RU" w:bidi="ru-RU"/>
        </w:rPr>
      </w:r>
      <w:r>
        <mc:AlternateContent>
          <mc:Choice Requires="wpg">
            <w:drawing>
              <wp:inline xmlns:wp="http://schemas.openxmlformats.org/drawingml/2006/wordprocessingDrawing" distT="0" distB="0" distL="0" distR="0">
                <wp:extent cx="5715000" cy="3810000"/>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040568" name=""/>
                        <pic:cNvPicPr>
                          <a:picLocks noChangeAspect="1"/>
                        </pic:cNvPicPr>
                        <pic:nvPr/>
                      </pic:nvPicPr>
                      <pic:blipFill rotWithShape="1">
                        <a:blip r:embed="rId24"/>
                        <a:stretch/>
                      </pic:blipFill>
                      <pic:spPr bwMode="auto">
                        <a:xfrm>
                          <a:off x="0" y="0"/>
                          <a:ext cx="5715000" cy="38099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50.00pt;height:300.00pt;mso-wrap-distance-left:0.00pt;mso-wrap-distance-top:0.00pt;mso-wrap-distance-right:0.00pt;mso-wrap-distance-bottom:0.00pt;z-index:1;" stroked="false">
                <v:imagedata r:id="rId24" o:title=""/>
                <o:lock v:ext="edit" rotation="t"/>
              </v:shape>
            </w:pict>
          </mc:Fallback>
        </mc:AlternateContent>
      </w:r>
      <w:r>
        <w:rPr>
          <w:highlight w:val="none"/>
          <w:lang w:val="ru-RU" w:bidi="ru-RU"/>
        </w:rPr>
      </w:r>
      <w:r>
        <w:rPr>
          <w:highlight w:val="none"/>
          <w:lang w:val="ru-RU" w:bidi="ru-RU"/>
        </w:rPr>
      </w:r>
    </w:p>
    <w:p w14:paraId="3AA78D6E">
      <w:pPr>
        <w:pStyle w:val="985"/>
        <w:pBdr/>
        <w:spacing/>
        <w:ind/>
        <w:rPr/>
      </w:pPr>
      <w:r>
        <w:t xml:space="preserve">Picture </w:t>
      </w:r>
      <w:r>
        <w:fldChar w:fldCharType="begin"/>
        <w:instrText xml:space="preserve"> SEQ Picture \* Arabic </w:instrText>
        <w:fldChar w:fldCharType="separate"/>
      </w:r>
      <w:r>
        <w:t xml:space="preserve">14</w:t>
      </w:r>
      <w:r>
        <w:fldChar w:fldCharType="end"/>
        <w:t xml:space="preserve"> – CO2 emissions top 2 countries.</w:t>
      </w:r>
      <w:r/>
    </w:p>
    <w:p w14:paraId="5678385C">
      <w:pPr>
        <w:pStyle w:val="950"/>
        <w:pBdr/>
        <w:spacing/>
        <w:ind/>
        <w:rPr>
          <w:lang w:val="ru-RU" w:bidi="ru-RU"/>
        </w:rPr>
      </w:pPr>
      <w:r/>
      <w:r>
        <w:rPr>
          <w:highlight w:val="none"/>
          <w:lang w:val="ru-RU" w:bidi="ru-RU"/>
        </w:rPr>
        <w:t xml:space="preserve">3. Oil industry</w:t>
      </w:r>
      <w:r>
        <w:rPr>
          <w:lang w:val="ru-RU" w:bidi="ru-RU"/>
        </w:rPr>
      </w:r>
      <w:r>
        <w:rPr>
          <w:lang w:val="ru-RU" w:bidi="ru-RU"/>
        </w:rPr>
      </w:r>
      <w:r>
        <w:rPr>
          <w:lang w:val="ru-RU" w:bidi="ru-RU"/>
        </w:rPr>
      </w:r>
    </w:p>
    <w:p w14:paraId="69D9E18B">
      <w:pPr>
        <w:pStyle w:val="951"/>
        <w:pBdr/>
        <w:spacing/>
        <w:ind/>
        <w:rPr/>
      </w:pPr>
      <w:r/>
      <w:r>
        <w:rPr>
          <w:highlight w:val="none"/>
          <w:lang w:val="ru-RU" w:bidi="ru-RU"/>
        </w:rPr>
        <w:t xml:space="preserve">Regional differences (ANOVA)</w:t>
      </w:r>
      <w:r/>
      <w:r/>
    </w:p>
    <w:p w14:paraId="5A8244CA">
      <w:pPr>
        <w:pBdr/>
        <w:spacing/>
        <w:ind/>
        <w:rPr/>
      </w:pPr>
      <w:r>
        <w:rPr>
          <w:highlight w:val="none"/>
          <w:lang w:val="ru-RU" w:bidi="ru-RU"/>
        </w:rPr>
        <w:t xml:space="preserve">As with other resources, the regional factor plays a decisive role (p-value = 0.000).</w:t>
      </w:r>
      <w:r/>
    </w:p>
    <w:p w14:paraId="017F6F64">
      <w:pPr>
        <w:pStyle w:val="1010"/>
        <w:numPr>
          <w:ilvl w:val="0"/>
          <w:numId w:val="44"/>
        </w:numPr>
        <w:pBdr/>
        <w:spacing/>
        <w:ind/>
        <w:rPr/>
      </w:pPr>
      <w:r>
        <w:rPr>
          <w:highlight w:val="none"/>
          <w:lang w:val="ru-RU" w:bidi="ru-RU"/>
        </w:rPr>
        <w:t xml:space="preserve">Consumption: North America and Europe show the highest and most stable figures, while the Asia-Pacific region has the highest number of extreme values (emissions).</w:t>
      </w:r>
      <w:r/>
    </w:p>
    <w:p w14:paraId="2F67AEE9">
      <w:pPr>
        <w:pStyle w:val="1010"/>
        <w:numPr>
          <w:ilvl w:val="0"/>
          <w:numId w:val="44"/>
        </w:numPr>
        <w:pBdr/>
        <w:spacing/>
        <w:ind/>
        <w:rPr>
          <w:lang w:val="ru-RU" w:bidi="ru-RU"/>
        </w:rPr>
      </w:pPr>
      <w:r>
        <w:rPr>
          <w:highlight w:val="none"/>
          <w:lang w:val="ru-RU" w:bidi="ru-RU"/>
        </w:rPr>
        <w:t xml:space="preserve">Production: This is where the highest data variability is observed. The Middle East and North America are key centers of power in terms of production volumes.</w:t>
      </w:r>
      <w:r>
        <w:rPr>
          <w:lang w:val="ru-RU" w:bidi="ru-RU"/>
        </w:rPr>
      </w:r>
      <w:r>
        <w:rPr>
          <w:lang w:val="ru-RU" w:bidi="ru-RU"/>
        </w:rPr>
      </w:r>
    </w:p>
    <w:p w14:paraId="4BFE72CB">
      <w:pPr>
        <w:pBdr/>
        <w:spacing/>
        <w:ind/>
        <w:rPr>
          <w:highlight w:val="none"/>
          <w:lang w:val="ru-RU" w:bidi="ru-RU"/>
        </w:rPr>
      </w:pPr>
      <w:r>
        <w:rPr>
          <w:highlight w:val="none"/>
          <w:lang w:val="ru-RU" w:bidi="ru-RU"/>
        </w:rPr>
      </w:r>
      <w:r>
        <mc:AlternateContent>
          <mc:Choice Requires="wpg">
            <w:drawing>
              <wp:inline xmlns:wp="http://schemas.openxmlformats.org/drawingml/2006/wordprocessingDrawing" distT="0" distB="0" distL="0" distR="0">
                <wp:extent cx="5943600" cy="3566160"/>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96460" name=""/>
                        <pic:cNvPicPr>
                          <a:picLocks noChangeAspect="1"/>
                        </pic:cNvPicPr>
                        <pic:nvPr/>
                      </pic:nvPicPr>
                      <pic:blipFill rotWithShape="1">
                        <a:blip r:embed="rId25"/>
                        <a:stretch/>
                      </pic:blipFill>
                      <pic:spPr bwMode="auto">
                        <a:xfrm>
                          <a:off x="0" y="0"/>
                          <a:ext cx="5943598" cy="356615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68.00pt;height:280.80pt;mso-wrap-distance-left:0.00pt;mso-wrap-distance-top:0.00pt;mso-wrap-distance-right:0.00pt;mso-wrap-distance-bottom:0.00pt;z-index:1;" stroked="false">
                <v:imagedata r:id="rId25" o:title=""/>
                <o:lock v:ext="edit" rotation="t"/>
              </v:shape>
            </w:pict>
          </mc:Fallback>
        </mc:AlternateContent>
      </w:r>
      <w:r>
        <w:rPr>
          <w:highlight w:val="none"/>
          <w:lang w:val="ru-RU" w:bidi="ru-RU"/>
        </w:rPr>
      </w:r>
      <w:r>
        <w:rPr>
          <w:highlight w:val="none"/>
          <w:lang w:val="ru-RU" w:bidi="ru-RU"/>
        </w:rPr>
      </w:r>
    </w:p>
    <w:p w14:paraId="4081E1D4">
      <w:pPr>
        <w:pStyle w:val="985"/>
        <w:pBdr/>
        <w:spacing/>
        <w:ind/>
        <w:rPr/>
      </w:pPr>
      <w:r>
        <w:t xml:space="preserve">Picture </w:t>
      </w:r>
      <w:r>
        <w:fldChar w:fldCharType="begin"/>
        <w:instrText xml:space="preserve"> SEQ Picture \* Arabic </w:instrText>
        <w:fldChar w:fldCharType="separate"/>
      </w:r>
      <w:r>
        <w:t xml:space="preserve">15</w:t>
      </w:r>
      <w:r>
        <w:fldChar w:fldCharType="end"/>
        <w:t xml:space="preserve"> – Oil consumption by region.</w:t>
      </w:r>
      <w:r/>
    </w:p>
    <w:p w14:paraId="5FD94E3B">
      <w:pPr>
        <w:pBdr/>
        <w:spacing/>
        <w:ind/>
        <w:rPr>
          <w:highlight w:val="none"/>
          <w:lang w:val="ru-RU" w:bidi="ru-RU"/>
        </w:rPr>
      </w:pPr>
      <w:r>
        <w:rPr>
          <w:highlight w:val="none"/>
          <w:lang w:val="ru-RU" w:bidi="ru-RU"/>
        </w:rPr>
      </w:r>
      <w:r>
        <mc:AlternateContent>
          <mc:Choice Requires="wpg">
            <w:drawing>
              <wp:inline xmlns:wp="http://schemas.openxmlformats.org/drawingml/2006/wordprocessingDrawing" distT="0" distB="0" distL="0" distR="0">
                <wp:extent cx="5943600" cy="3566160"/>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156249" name=""/>
                        <pic:cNvPicPr>
                          <a:picLocks noChangeAspect="1"/>
                        </pic:cNvPicPr>
                        <pic:nvPr/>
                      </pic:nvPicPr>
                      <pic:blipFill rotWithShape="1">
                        <a:blip r:embed="rId26"/>
                        <a:stretch/>
                      </pic:blipFill>
                      <pic:spPr bwMode="auto">
                        <a:xfrm>
                          <a:off x="0" y="0"/>
                          <a:ext cx="5943598" cy="356615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68.00pt;height:280.80pt;mso-wrap-distance-left:0.00pt;mso-wrap-distance-top:0.00pt;mso-wrap-distance-right:0.00pt;mso-wrap-distance-bottom:0.00pt;z-index:1;" stroked="false">
                <v:imagedata r:id="rId26" o:title=""/>
                <o:lock v:ext="edit" rotation="t"/>
              </v:shape>
            </w:pict>
          </mc:Fallback>
        </mc:AlternateContent>
      </w:r>
      <w:r>
        <w:rPr>
          <w:highlight w:val="none"/>
          <w:lang w:val="ru-RU" w:bidi="ru-RU"/>
        </w:rPr>
      </w:r>
      <w:r>
        <w:rPr>
          <w:highlight w:val="none"/>
          <w:lang w:val="ru-RU" w:bidi="ru-RU"/>
        </w:rPr>
      </w:r>
    </w:p>
    <w:p w14:paraId="6CF93E2D">
      <w:pPr>
        <w:pStyle w:val="985"/>
        <w:pBdr/>
        <w:spacing/>
        <w:ind/>
        <w:rPr/>
      </w:pPr>
      <w:r>
        <w:t xml:space="preserve">Picture </w:t>
      </w:r>
      <w:r>
        <w:fldChar w:fldCharType="begin"/>
        <w:instrText xml:space="preserve"> SEQ Picture \* Arabic </w:instrText>
        <w:fldChar w:fldCharType="separate"/>
      </w:r>
      <w:r>
        <w:t xml:space="preserve">16</w:t>
      </w:r>
      <w:r>
        <w:fldChar w:fldCharType="end"/>
        <w:t xml:space="preserve"> – Oil production by region.</w:t>
      </w:r>
      <w:r/>
    </w:p>
    <w:p w14:paraId="06CAA872">
      <w:pPr>
        <w:pStyle w:val="951"/>
        <w:pBdr/>
        <w:spacing/>
        <w:ind/>
        <w:rPr>
          <w:lang w:val="ru-RU" w:bidi="ru-RU"/>
        </w:rPr>
      </w:pPr>
      <w:r/>
      <w:r>
        <w:rPr>
          <w:highlight w:val="none"/>
          <w:lang w:val="ru-RU" w:bidi="ru-RU"/>
        </w:rPr>
        <w:t xml:space="preserve">Comparison of leaders (T-tests)</w:t>
      </w:r>
      <w:r>
        <w:rPr>
          <w:lang w:val="ru-RU" w:bidi="ru-RU"/>
        </w:rPr>
      </w:r>
      <w:r>
        <w:rPr>
          <w:lang w:val="ru-RU" w:bidi="ru-RU"/>
        </w:rPr>
      </w:r>
      <w:r>
        <w:rPr>
          <w:lang w:val="ru-RU" w:bidi="ru-RU"/>
        </w:rPr>
      </w:r>
    </w:p>
    <w:p w14:paraId="5495E5E8">
      <w:pPr>
        <w:pStyle w:val="1010"/>
        <w:numPr>
          <w:ilvl w:val="0"/>
          <w:numId w:val="45"/>
        </w:numPr>
        <w:pBdr/>
        <w:spacing/>
        <w:ind/>
        <w:rPr/>
      </w:pPr>
      <w:r>
        <w:rPr>
          <w:highlight w:val="none"/>
          <w:lang w:val="ru-RU" w:bidi="ru-RU"/>
        </w:rPr>
        <w:t xml:space="preserve">O</w:t>
      </w:r>
      <w:r>
        <w:rPr>
          <w:highlight w:val="none"/>
          <w:lang w:val="ru-RU" w:bidi="ru-RU"/>
        </w:rPr>
        <w:t xml:space="preserve">il Production (USA vs Saudi Arabia): The difference in production volumes between the USA and Saudi Arabia is statistically significant (p = 0.0007). Despite the leadership of both countries, their production profiles differ significantly in the long term.</w:t>
      </w:r>
      <w:r/>
    </w:p>
    <w:p w14:paraId="289088F5">
      <w:pPr>
        <w:pStyle w:val="1010"/>
        <w:numPr>
          <w:ilvl w:val="0"/>
          <w:numId w:val="45"/>
        </w:numPr>
        <w:pBdr/>
        <w:spacing/>
        <w:ind/>
        <w:rPr>
          <w:lang w:val="ru-RU" w:bidi="ru-RU"/>
        </w:rPr>
      </w:pPr>
      <w:r>
        <w:rPr>
          <w:highlight w:val="none"/>
          <w:lang w:val="ru-RU" w:bidi="ru-RU"/>
        </w:rPr>
        <w:t xml:space="preserve">Oil Consumption (USA vs China): The US remains a larger consumer of oil than China in historical terms, and this difference is statistically confirmed (p = 0.000).</w:t>
      </w:r>
      <w:r>
        <w:rPr>
          <w:lang w:val="ru-RU" w:bidi="ru-RU"/>
        </w:rPr>
      </w:r>
      <w:r>
        <w:rPr>
          <w:lang w:val="ru-RU" w:bidi="ru-RU"/>
        </w:rPr>
      </w:r>
    </w:p>
    <w:p w14:paraId="3167FC9A">
      <w:pPr>
        <w:pBdr/>
        <w:spacing/>
        <w:ind/>
        <w:rPr>
          <w:highlight w:val="none"/>
          <w:lang w:val="ru-RU" w:bidi="ru-RU"/>
        </w:rPr>
      </w:pPr>
      <w:r>
        <w:rPr>
          <w:highlight w:val="none"/>
          <w:lang w:val="ru-RU" w:bidi="ru-RU"/>
        </w:rPr>
      </w:r>
      <w:r>
        <mc:AlternateContent>
          <mc:Choice Requires="wpg">
            <w:drawing>
              <wp:inline xmlns:wp="http://schemas.openxmlformats.org/drawingml/2006/wordprocessingDrawing" distT="0" distB="0" distL="0" distR="0">
                <wp:extent cx="5715000" cy="3810000"/>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162751" name=""/>
                        <pic:cNvPicPr>
                          <a:picLocks noChangeAspect="1"/>
                        </pic:cNvPicPr>
                        <pic:nvPr/>
                      </pic:nvPicPr>
                      <pic:blipFill rotWithShape="1">
                        <a:blip r:embed="rId27"/>
                        <a:stretch/>
                      </pic:blipFill>
                      <pic:spPr bwMode="auto">
                        <a:xfrm>
                          <a:off x="0" y="0"/>
                          <a:ext cx="5715000" cy="38099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50.00pt;height:300.00pt;mso-wrap-distance-left:0.00pt;mso-wrap-distance-top:0.00pt;mso-wrap-distance-right:0.00pt;mso-wrap-distance-bottom:0.00pt;z-index:1;" stroked="false">
                <v:imagedata r:id="rId27" o:title=""/>
                <o:lock v:ext="edit" rotation="t"/>
              </v:shape>
            </w:pict>
          </mc:Fallback>
        </mc:AlternateContent>
      </w:r>
      <w:r>
        <w:rPr>
          <w:highlight w:val="none"/>
          <w:lang w:val="ru-RU" w:bidi="ru-RU"/>
        </w:rPr>
      </w:r>
      <w:r>
        <w:rPr>
          <w:highlight w:val="none"/>
          <w:lang w:val="ru-RU" w:bidi="ru-RU"/>
        </w:rPr>
      </w:r>
    </w:p>
    <w:p w14:paraId="35FF4133">
      <w:pPr>
        <w:pStyle w:val="985"/>
        <w:pBdr/>
        <w:spacing/>
        <w:ind/>
        <w:rPr/>
      </w:pPr>
      <w:r>
        <w:t xml:space="preserve">Picture </w:t>
      </w:r>
      <w:r>
        <w:fldChar w:fldCharType="begin"/>
        <w:instrText xml:space="preserve"> SEQ Picture \* Arabic </w:instrText>
        <w:fldChar w:fldCharType="separate"/>
      </w:r>
      <w:r>
        <w:t xml:space="preserve">17</w:t>
      </w:r>
      <w:r>
        <w:fldChar w:fldCharType="end"/>
        <w:t xml:space="preserve"> – Oil production top 2 countries.</w:t>
      </w:r>
      <w:r/>
    </w:p>
    <w:p w14:paraId="03737CB4">
      <w:pPr>
        <w:pBdr/>
        <w:spacing/>
        <w:ind/>
        <w:rPr>
          <w:highlight w:val="none"/>
          <w:lang w:val="ru-RU" w:bidi="ru-RU"/>
        </w:rPr>
      </w:pPr>
      <w:r>
        <w:rPr>
          <w:highlight w:val="none"/>
          <w:lang w:val="ru-RU" w:bidi="ru-RU"/>
        </w:rPr>
      </w:r>
      <w:r>
        <mc:AlternateContent>
          <mc:Choice Requires="wpg">
            <w:drawing>
              <wp:inline xmlns:wp="http://schemas.openxmlformats.org/drawingml/2006/wordprocessingDrawing" distT="0" distB="0" distL="0" distR="0">
                <wp:extent cx="5715000" cy="3810000"/>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774680" name=""/>
                        <pic:cNvPicPr>
                          <a:picLocks noChangeAspect="1"/>
                        </pic:cNvPicPr>
                        <pic:nvPr/>
                      </pic:nvPicPr>
                      <pic:blipFill rotWithShape="1">
                        <a:blip r:embed="rId28"/>
                        <a:stretch/>
                      </pic:blipFill>
                      <pic:spPr bwMode="auto">
                        <a:xfrm>
                          <a:off x="0" y="0"/>
                          <a:ext cx="5715000" cy="38099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50.00pt;height:300.00pt;mso-wrap-distance-left:0.00pt;mso-wrap-distance-top:0.00pt;mso-wrap-distance-right:0.00pt;mso-wrap-distance-bottom:0.00pt;z-index:1;" stroked="false">
                <v:imagedata r:id="rId28" o:title=""/>
                <o:lock v:ext="edit" rotation="t"/>
              </v:shape>
            </w:pict>
          </mc:Fallback>
        </mc:AlternateContent>
      </w:r>
      <w:r>
        <w:rPr>
          <w:highlight w:val="none"/>
          <w:lang w:val="ru-RU" w:bidi="ru-RU"/>
        </w:rPr>
      </w:r>
      <w:r>
        <w:rPr>
          <w:highlight w:val="none"/>
          <w:lang w:val="ru-RU" w:bidi="ru-RU"/>
        </w:rPr>
      </w:r>
    </w:p>
    <w:p w14:paraId="320CB8D6">
      <w:pPr>
        <w:pStyle w:val="985"/>
        <w:pBdr/>
        <w:spacing/>
        <w:ind/>
        <w:rPr/>
      </w:pPr>
      <w:r>
        <w:t xml:space="preserve">Picture </w:t>
      </w:r>
      <w:r>
        <w:fldChar w:fldCharType="begin"/>
        <w:instrText xml:space="preserve"> SEQ Picture \* Arabic </w:instrText>
        <w:fldChar w:fldCharType="separate"/>
      </w:r>
      <w:r>
        <w:t xml:space="preserve">18</w:t>
      </w:r>
      <w:r>
        <w:fldChar w:fldCharType="end"/>
        <w:t xml:space="preserve"> – Oil consumption top 2 countries.</w:t>
      </w:r>
      <w:r/>
    </w:p>
    <w:p w14:paraId="398CEC0E">
      <w:pPr>
        <w:pStyle w:val="950"/>
        <w:pBdr/>
        <w:spacing/>
        <w:ind/>
        <w:rPr>
          <w:lang w:val="ru-RU" w:bidi="ru-RU"/>
        </w:rPr>
      </w:pPr>
      <w:r/>
      <w:r>
        <w:rPr>
          <w:highlight w:val="none"/>
          <w:lang w:val="ru-RU" w:bidi="ru-RU"/>
        </w:rPr>
        <w:t xml:space="preserve">4. Summary table of test results</w:t>
      </w:r>
      <w:r>
        <w:rPr>
          <w:lang w:val="ru-RU" w:bidi="ru-RU"/>
        </w:rPr>
      </w:r>
      <w:r>
        <w:rPr>
          <w:lang w:val="ru-RU" w:bidi="ru-RU"/>
        </w:rPr>
      </w:r>
      <w:r>
        <w:rPr>
          <w:lang w:val="ru-RU" w:bidi="ru-RU"/>
        </w:rPr>
      </w:r>
    </w:p>
    <w:p w14:paraId="19F19B1D">
      <w:pPr>
        <w:pBdr/>
        <w:spacing/>
        <w:ind/>
        <w:rPr>
          <w:highlight w:val="none"/>
          <w:lang w:val="ru-RU" w:bidi="ru-RU"/>
        </w:rPr>
      </w:pPr>
      <w:r>
        <w:rPr>
          <w:highlight w:val="none"/>
          <w:lang w:val="ru-RU" w:bidi="ru-RU"/>
        </w:rPr>
        <w:t xml:space="preserve">The table below shows the key metrics for all tests. Recall that at </w:t>
      </w:r>
      <w:r>
        <w:rPr>
          <w:highlight w:val="none"/>
          <w:lang w:val="ru-RU" w:bidi="ru-RU"/>
        </w:rPr>
        <w:t xml:space="preserve">α</w:t>
      </w:r>
      <w:r>
        <w:rPr>
          <w:highlight w:val="none"/>
          <w:lang w:val="ru-RU" w:bidi="ru-RU"/>
        </w:rPr>
        <w:t xml:space="preserve">=</w:t>
      </w:r>
      <w:r>
        <w:rPr>
          <w:highlight w:val="none"/>
          <w:lang w:val="ru-RU" w:bidi="ru-RU"/>
        </w:rPr>
        <w:t xml:space="preserve">0.05</w:t>
      </w:r>
      <w:r>
        <w:rPr>
          <w:highlight w:val="none"/>
          <w:lang w:val="ru-RU" w:bidi="ru-RU"/>
        </w:rPr>
        <w:t xml:space="preserve">, the result is considered significant if </w:t>
      </w:r>
      <w:r>
        <w:rPr>
          <w:highlight w:val="none"/>
          <w:lang w:val="ru-RU" w:bidi="ru-RU"/>
        </w:rPr>
        <w:t xml:space="preserve">p</w:t>
      </w:r>
      <w:r>
        <w:rPr>
          <w:highlight w:val="none"/>
          <w:lang w:val="ru-RU" w:bidi="ru-RU"/>
        </w:rPr>
        <w:t xml:space="preserve">&lt;</w:t>
      </w:r>
      <w:r>
        <w:rPr>
          <w:highlight w:val="none"/>
          <w:lang w:val="ru-RU" w:bidi="ru-RU"/>
        </w:rPr>
        <w:t xml:space="preserve">0.05</w:t>
      </w:r>
      <w:r>
        <w:rPr>
          <w:highlight w:val="none"/>
          <w:lang w:val="ru-RU" w:bidi="ru-RU"/>
        </w:rPr>
        <w:t xml:space="preserve">.</w:t>
      </w:r>
      <w:r>
        <w:rPr>
          <w:highlight w:val="none"/>
          <w:lang w:val="ru-RU" w:bidi="ru-RU"/>
        </w:rPr>
      </w:r>
      <w:r>
        <w:rPr>
          <w:highlight w:val="none"/>
          <w:lang w:val="ru-RU" w:bidi="ru-RU"/>
        </w:rPr>
      </w:r>
    </w:p>
    <w:p w14:paraId="5320B581">
      <w:pPr>
        <w:pStyle w:val="985"/>
        <w:pBdr/>
        <w:spacing/>
        <w:ind/>
        <w:rPr/>
      </w:pPr>
      <w:r>
        <w:t xml:space="preserve">Table </w:t>
      </w:r>
      <w:r>
        <w:fldChar w:fldCharType="begin"/>
        <w:instrText xml:space="preserve"> SEQ Table \* Arabic </w:instrText>
        <w:fldChar w:fldCharType="separate"/>
      </w:r>
      <w:r>
        <w:t xml:space="preserve">1</w:t>
      </w:r>
      <w:r>
        <w:fldChar w:fldCharType="end"/>
      </w:r>
      <w:r>
        <w:rPr>
          <w:lang w:val="en-US"/>
        </w:rPr>
        <w:t xml:space="preserve"> – Summary of test results.</w:t>
      </w:r>
      <w:r/>
    </w:p>
    <w:tbl>
      <w:tblPr>
        <w:tblStyle w:val="821"/>
        <w:tblW w:w="0" w:type="auto"/>
        <w:tblBorders/>
        <w:tblLook w:val="04A0" w:firstRow="1" w:lastRow="0" w:firstColumn="1" w:lastColumn="0" w:noHBand="0" w:noVBand="1"/>
      </w:tblPr>
      <w:tblGrid>
        <w:gridCol w:w="1872"/>
        <w:gridCol w:w="1872"/>
        <w:gridCol w:w="1872"/>
        <w:gridCol w:w="1872"/>
        <w:gridCol w:w="1872"/>
      </w:tblGrid>
      <w:tr>
        <w:trPr/>
        <w:tc>
          <w:tcPr>
            <w:tcBorders/>
            <w:tcW w:w="1872" w:type="dxa"/>
            <w:textDirection w:val="lrTb"/>
            <w:noWrap w:val="false"/>
          </w:tcPr>
          <w:p w14:paraId="2DA15FDD">
            <w:pPr>
              <w:pBdr/>
              <w:spacing/>
              <w:ind/>
              <w:rPr>
                <w:highlight w:val="none"/>
                <w:lang w:val="ru-RU" w:bidi="ru-RU"/>
              </w:rPr>
            </w:pPr>
            <w:r>
              <w:rPr>
                <w:highlight w:val="none"/>
                <w:lang w:val="en-US"/>
              </w:rPr>
              <w:t xml:space="preserve">Resource</w:t>
            </w:r>
            <w:r>
              <w:rPr>
                <w:highlight w:val="none"/>
                <w:lang w:val="ru-RU"/>
              </w:rPr>
            </w:r>
          </w:p>
        </w:tc>
        <w:tc>
          <w:tcPr>
            <w:tcBorders/>
            <w:tcW w:w="1872" w:type="dxa"/>
            <w:textDirection w:val="lrTb"/>
            <w:noWrap w:val="false"/>
          </w:tcPr>
          <w:p w14:paraId="32C32A7E">
            <w:pPr>
              <w:pBdr/>
              <w:spacing/>
              <w:ind/>
              <w:rPr>
                <w:highlight w:val="none"/>
                <w:lang w:val="ru-RU" w:bidi="ru-RU"/>
              </w:rPr>
            </w:pPr>
            <w:r>
              <w:rPr>
                <w:highlight w:val="none"/>
                <w:lang w:val="en-US"/>
              </w:rPr>
              <w:t xml:space="preserve">Metric</w:t>
            </w:r>
            <w:r>
              <w:rPr>
                <w:highlight w:val="none"/>
                <w:lang w:val="ru-RU"/>
              </w:rPr>
            </w:r>
          </w:p>
        </w:tc>
        <w:tc>
          <w:tcPr>
            <w:tcBorders/>
            <w:tcW w:w="1872" w:type="dxa"/>
            <w:textDirection w:val="lrTb"/>
            <w:noWrap w:val="false"/>
          </w:tcPr>
          <w:p w14:paraId="5A4A968A">
            <w:pPr>
              <w:pBdr/>
              <w:spacing/>
              <w:ind/>
              <w:rPr>
                <w:highlight w:val="none"/>
                <w:lang w:val="ru-RU" w:bidi="ru-RU"/>
              </w:rPr>
            </w:pPr>
            <w:r>
              <w:rPr>
                <w:highlight w:val="none"/>
                <w:lang w:val="en-US"/>
              </w:rPr>
              <w:t xml:space="preserve">Test type</w:t>
            </w:r>
            <w:r>
              <w:rPr>
                <w:highlight w:val="none"/>
                <w:lang w:val="ru-RU"/>
              </w:rPr>
            </w:r>
          </w:p>
        </w:tc>
        <w:tc>
          <w:tcPr>
            <w:tcBorders/>
            <w:tcW w:w="1872" w:type="dxa"/>
            <w:textDirection w:val="lrTb"/>
            <w:noWrap w:val="false"/>
          </w:tcPr>
          <w:p w14:paraId="69318003">
            <w:pPr>
              <w:pBdr/>
              <w:spacing/>
              <w:ind/>
              <w:rPr>
                <w:highlight w:val="none"/>
                <w:lang w:val="ru-RU" w:bidi="ru-RU"/>
              </w:rPr>
            </w:pPr>
            <w:r>
              <w:rPr>
                <w:highlight w:val="none"/>
                <w:lang w:val="en-US"/>
              </w:rPr>
              <w:t xml:space="preserve">P-value</w:t>
            </w:r>
            <w:r>
              <w:rPr>
                <w:highlight w:val="none"/>
                <w:lang w:val="ru-RU"/>
              </w:rPr>
            </w:r>
          </w:p>
        </w:tc>
        <w:tc>
          <w:tcPr>
            <w:tcBorders/>
            <w:tcW w:w="1872" w:type="dxa"/>
            <w:textDirection w:val="lrTb"/>
            <w:noWrap w:val="false"/>
          </w:tcPr>
          <w:p w14:paraId="65E350AD">
            <w:pPr>
              <w:pBdr/>
              <w:spacing/>
              <w:ind/>
              <w:rPr>
                <w:highlight w:val="none"/>
                <w:lang w:val="ru-RU" w:bidi="ru-RU"/>
              </w:rPr>
            </w:pPr>
            <w:r>
              <w:rPr>
                <w:highlight w:val="none"/>
                <w:lang w:val="en-US"/>
              </w:rPr>
              <w:t xml:space="preserve">Significant?</w:t>
            </w:r>
            <w:r>
              <w:rPr>
                <w:highlight w:val="none"/>
                <w:lang w:val="ru-RU"/>
              </w:rPr>
            </w:r>
          </w:p>
        </w:tc>
      </w:tr>
      <w:tr>
        <w:trPr/>
        <w:tc>
          <w:tcPr>
            <w:tcBorders/>
            <w:tcW w:w="1872" w:type="dxa"/>
            <w:textDirection w:val="lrTb"/>
            <w:noWrap w:val="false"/>
          </w:tcPr>
          <w:p w14:paraId="342D1471">
            <w:pPr>
              <w:pBdr/>
              <w:spacing/>
              <w:ind/>
              <w:rPr>
                <w:highlight w:val="none"/>
                <w:lang w:val="ru-RU" w:bidi="ru-RU"/>
              </w:rPr>
            </w:pPr>
            <w:r>
              <w:rPr>
                <w:highlight w:val="none"/>
                <w:lang w:val="en-US"/>
              </w:rPr>
              <w:t xml:space="preserve">Oil</w:t>
            </w:r>
            <w:r>
              <w:rPr>
                <w:highlight w:val="none"/>
                <w:lang w:val="ru-RU"/>
              </w:rPr>
            </w:r>
          </w:p>
        </w:tc>
        <w:tc>
          <w:tcPr>
            <w:tcBorders/>
            <w:tcW w:w="1872" w:type="dxa"/>
            <w:textDirection w:val="lrTb"/>
            <w:noWrap w:val="false"/>
          </w:tcPr>
          <w:p w14:paraId="45DD1628">
            <w:pPr>
              <w:pBdr/>
              <w:spacing/>
              <w:ind/>
              <w:rPr>
                <w:highlight w:val="none"/>
                <w:lang w:val="ru-RU" w:bidi="ru-RU"/>
              </w:rPr>
            </w:pPr>
            <w:r>
              <w:rPr>
                <w:highlight w:val="none"/>
                <w:lang w:val="en-US"/>
              </w:rPr>
              <w:t xml:space="preserve">Consumtion</w:t>
            </w:r>
            <w:r>
              <w:rPr>
                <w:highlight w:val="none"/>
                <w:lang w:val="ru-RU"/>
              </w:rPr>
            </w:r>
          </w:p>
        </w:tc>
        <w:tc>
          <w:tcPr>
            <w:tcBorders/>
            <w:tcW w:w="1872" w:type="dxa"/>
            <w:textDirection w:val="lrTb"/>
            <w:noWrap w:val="false"/>
          </w:tcPr>
          <w:p w14:paraId="01EA4CE0">
            <w:pPr>
              <w:pBdr/>
              <w:spacing/>
              <w:ind/>
              <w:rPr>
                <w:highlight w:val="none"/>
                <w:lang w:val="ru-RU" w:bidi="ru-RU"/>
              </w:rPr>
            </w:pPr>
            <w:r>
              <w:rPr>
                <w:highlight w:val="none"/>
                <w:lang w:val="en-US"/>
              </w:rPr>
              <w:t xml:space="preserve">ANOVA</w:t>
            </w:r>
            <w:r>
              <w:rPr>
                <w:highlight w:val="none"/>
                <w:lang w:val="ru-RU"/>
              </w:rPr>
            </w:r>
          </w:p>
        </w:tc>
        <w:tc>
          <w:tcPr>
            <w:tcBorders/>
            <w:tcW w:w="1872" w:type="dxa"/>
            <w:textDirection w:val="lrTb"/>
            <w:noWrap w:val="false"/>
          </w:tcPr>
          <w:p w14:paraId="3A7981FC">
            <w:pPr>
              <w:pBdr/>
              <w:spacing/>
              <w:ind/>
              <w:rPr>
                <w:highlight w:val="none"/>
                <w:lang w:val="ru-RU" w:bidi="ru-RU"/>
              </w:rPr>
            </w:pPr>
            <w:r>
              <w:rPr>
                <w:highlight w:val="none"/>
                <w:lang w:val="en-US"/>
              </w:rPr>
              <w:t xml:space="preserve">0.000</w:t>
            </w:r>
            <w:r>
              <w:rPr>
                <w:highlight w:val="none"/>
                <w:lang w:val="ru-RU"/>
              </w:rPr>
            </w:r>
          </w:p>
        </w:tc>
        <w:tc>
          <w:tcPr>
            <w:tcBorders/>
            <w:tcW w:w="1872" w:type="dxa"/>
            <w:textDirection w:val="lrTb"/>
            <w:noWrap w:val="false"/>
          </w:tcPr>
          <w:p w14:paraId="19A0D944">
            <w:pPr>
              <w:pBdr/>
              <w:spacing/>
              <w:ind/>
              <w:rPr>
                <w:highlight w:val="none"/>
                <w:lang w:val="ru-RU" w:bidi="ru-RU"/>
              </w:rPr>
            </w:pPr>
            <w:r>
              <w:rPr>
                <w:highlight w:val="none"/>
                <w:lang w:val="en-US"/>
              </w:rPr>
              <w:t xml:space="preserve">Yes</w:t>
            </w:r>
            <w:r>
              <w:rPr>
                <w:highlight w:val="none"/>
                <w:lang w:val="ru-RU"/>
              </w:rPr>
            </w:r>
          </w:p>
        </w:tc>
      </w:tr>
      <w:tr>
        <w:trPr/>
        <w:tc>
          <w:tcPr>
            <w:tcBorders/>
            <w:tcW w:w="1872" w:type="dxa"/>
            <w:textDirection w:val="lrTb"/>
            <w:noWrap w:val="false"/>
          </w:tcPr>
          <w:p w14:paraId="10133667">
            <w:pPr>
              <w:pBdr/>
              <w:spacing/>
              <w:ind/>
              <w:rPr>
                <w:highlight w:val="none"/>
                <w:lang w:val="ru-RU" w:bidi="ru-RU"/>
              </w:rPr>
            </w:pPr>
            <w:r>
              <w:rPr>
                <w:highlight w:val="none"/>
                <w:lang w:val="en-US"/>
              </w:rPr>
              <w:t xml:space="preserve">Oil</w:t>
            </w:r>
            <w:r>
              <w:rPr>
                <w:highlight w:val="none"/>
                <w:lang w:val="ru-RU"/>
              </w:rPr>
            </w:r>
          </w:p>
        </w:tc>
        <w:tc>
          <w:tcPr>
            <w:tcBorders/>
            <w:tcW w:w="1872" w:type="dxa"/>
            <w:textDirection w:val="lrTb"/>
            <w:noWrap w:val="false"/>
          </w:tcPr>
          <w:p w14:paraId="05BDC418">
            <w:pPr>
              <w:pBdr/>
              <w:spacing/>
              <w:ind/>
              <w:rPr>
                <w:highlight w:val="none"/>
                <w:lang w:val="ru-RU" w:bidi="ru-RU"/>
              </w:rPr>
            </w:pPr>
            <w:r>
              <w:rPr>
                <w:highlight w:val="none"/>
                <w:lang w:val="en-US"/>
              </w:rPr>
              <w:t xml:space="preserve">Consumtion</w:t>
            </w:r>
            <w:r>
              <w:rPr>
                <w:highlight w:val="none"/>
                <w:lang w:val="ru-RU"/>
              </w:rPr>
            </w:r>
          </w:p>
        </w:tc>
        <w:tc>
          <w:tcPr>
            <w:tcBorders/>
            <w:tcW w:w="1872" w:type="dxa"/>
            <w:textDirection w:val="lrTb"/>
            <w:noWrap w:val="false"/>
          </w:tcPr>
          <w:p w14:paraId="5A4C3A9F">
            <w:pPr>
              <w:pBdr/>
              <w:spacing/>
              <w:ind/>
              <w:rPr>
                <w:highlight w:val="none"/>
                <w:lang w:val="ru-RU" w:bidi="ru-RU"/>
              </w:rPr>
            </w:pPr>
            <w:r>
              <w:rPr>
                <w:highlight w:val="none"/>
                <w:lang w:val="en-US"/>
              </w:rPr>
              <w:t xml:space="preserve">T-test</w:t>
            </w:r>
            <w:r>
              <w:rPr>
                <w:highlight w:val="none"/>
                <w:lang w:val="ru-RU"/>
              </w:rPr>
            </w:r>
          </w:p>
        </w:tc>
        <w:tc>
          <w:tcPr>
            <w:tcBorders/>
            <w:tcW w:w="1872" w:type="dxa"/>
            <w:textDirection w:val="lrTb"/>
            <w:noWrap w:val="false"/>
          </w:tcPr>
          <w:p w14:paraId="1EB02182">
            <w:pPr>
              <w:pBdr/>
              <w:spacing/>
              <w:ind/>
              <w:rPr>
                <w:highlight w:val="none"/>
                <w:lang w:val="ru-RU" w:bidi="ru-RU"/>
              </w:rPr>
            </w:pPr>
            <w:r>
              <w:rPr>
                <w:highlight w:val="none"/>
                <w:lang w:val="en-US"/>
              </w:rPr>
              <w:t xml:space="preserve">0.000</w:t>
            </w:r>
            <w:r>
              <w:rPr>
                <w:highlight w:val="none"/>
                <w:lang w:val="ru-RU"/>
              </w:rPr>
            </w:r>
          </w:p>
        </w:tc>
        <w:tc>
          <w:tcPr>
            <w:tcBorders/>
            <w:tcW w:w="1872" w:type="dxa"/>
            <w:textDirection w:val="lrTb"/>
            <w:noWrap w:val="false"/>
          </w:tcPr>
          <w:p w14:paraId="0AD91E9C">
            <w:pPr>
              <w:pBdr/>
              <w:spacing/>
              <w:ind/>
              <w:rPr>
                <w:highlight w:val="none"/>
                <w:lang w:val="ru-RU" w:bidi="ru-RU"/>
              </w:rPr>
            </w:pPr>
            <w:r>
              <w:rPr>
                <w:highlight w:val="none"/>
                <w:lang w:val="en-US"/>
              </w:rPr>
              <w:t xml:space="preserve">Yes</w:t>
            </w:r>
            <w:r>
              <w:rPr>
                <w:highlight w:val="none"/>
                <w:lang w:val="ru-RU"/>
              </w:rPr>
            </w:r>
          </w:p>
        </w:tc>
      </w:tr>
      <w:tr>
        <w:trPr/>
        <w:tc>
          <w:tcPr>
            <w:tcBorders/>
            <w:tcW w:w="1872" w:type="dxa"/>
            <w:textDirection w:val="lrTb"/>
            <w:noWrap w:val="false"/>
          </w:tcPr>
          <w:p w14:paraId="7CBC03D1">
            <w:pPr>
              <w:pBdr/>
              <w:spacing/>
              <w:ind/>
              <w:rPr>
                <w:highlight w:val="none"/>
                <w:lang w:val="ru-RU" w:bidi="ru-RU"/>
              </w:rPr>
            </w:pPr>
            <w:r>
              <w:rPr>
                <w:highlight w:val="none"/>
                <w:lang w:val="en-US"/>
              </w:rPr>
              <w:t xml:space="preserve">Oil</w:t>
            </w:r>
            <w:r>
              <w:rPr>
                <w:highlight w:val="none"/>
                <w:lang w:val="ru-RU"/>
              </w:rPr>
            </w:r>
          </w:p>
        </w:tc>
        <w:tc>
          <w:tcPr>
            <w:tcBorders/>
            <w:tcW w:w="1872" w:type="dxa"/>
            <w:textDirection w:val="lrTb"/>
            <w:noWrap w:val="false"/>
          </w:tcPr>
          <w:p w14:paraId="6028672C">
            <w:pPr>
              <w:pBdr/>
              <w:spacing/>
              <w:ind/>
              <w:rPr>
                <w:highlight w:val="none"/>
                <w:lang w:val="ru-RU" w:bidi="ru-RU"/>
              </w:rPr>
            </w:pPr>
            <w:r>
              <w:rPr>
                <w:highlight w:val="none"/>
                <w:lang w:val="en-US"/>
              </w:rPr>
              <w:t xml:space="preserve">Production</w:t>
            </w:r>
            <w:r>
              <w:rPr>
                <w:highlight w:val="none"/>
                <w:lang w:val="ru-RU"/>
              </w:rPr>
            </w:r>
          </w:p>
        </w:tc>
        <w:tc>
          <w:tcPr>
            <w:tcBorders/>
            <w:tcW w:w="1872" w:type="dxa"/>
            <w:textDirection w:val="lrTb"/>
            <w:noWrap w:val="false"/>
          </w:tcPr>
          <w:p w14:paraId="12E8F21C">
            <w:pPr>
              <w:pBdr/>
              <w:spacing/>
              <w:ind/>
              <w:rPr>
                <w:highlight w:val="none"/>
                <w:lang w:val="ru-RU" w:bidi="ru-RU"/>
              </w:rPr>
            </w:pPr>
            <w:r>
              <w:rPr>
                <w:highlight w:val="none"/>
                <w:lang w:val="en-US"/>
              </w:rPr>
              <w:t xml:space="preserve">T-test</w:t>
            </w:r>
            <w:r>
              <w:rPr>
                <w:highlight w:val="none"/>
                <w:lang w:val="ru-RU"/>
              </w:rPr>
            </w:r>
          </w:p>
        </w:tc>
        <w:tc>
          <w:tcPr>
            <w:tcBorders/>
            <w:tcW w:w="1872" w:type="dxa"/>
            <w:textDirection w:val="lrTb"/>
            <w:noWrap w:val="false"/>
          </w:tcPr>
          <w:p w14:paraId="44E1869E">
            <w:pPr>
              <w:pBdr/>
              <w:spacing/>
              <w:ind/>
              <w:rPr>
                <w:highlight w:val="none"/>
                <w:lang w:val="ru-RU" w:bidi="ru-RU"/>
              </w:rPr>
            </w:pPr>
            <w:r>
              <w:rPr>
                <w:highlight w:val="none"/>
                <w:lang w:val="en-US"/>
              </w:rPr>
              <w:t xml:space="preserve">0.0007</w:t>
            </w:r>
            <w:r>
              <w:rPr>
                <w:highlight w:val="none"/>
                <w:lang w:val="ru-RU"/>
              </w:rPr>
            </w:r>
          </w:p>
        </w:tc>
        <w:tc>
          <w:tcPr>
            <w:tcBorders/>
            <w:tcW w:w="1872" w:type="dxa"/>
            <w:textDirection w:val="lrTb"/>
            <w:noWrap w:val="false"/>
          </w:tcPr>
          <w:p w14:paraId="09C1E0F1">
            <w:pPr>
              <w:pBdr/>
              <w:spacing/>
              <w:ind/>
              <w:rPr>
                <w:highlight w:val="none"/>
                <w:lang w:val="ru-RU" w:bidi="ru-RU"/>
              </w:rPr>
            </w:pPr>
            <w:r>
              <w:rPr>
                <w:highlight w:val="none"/>
                <w:lang w:val="en-US"/>
              </w:rPr>
              <w:t xml:space="preserve">Yes</w:t>
            </w:r>
            <w:r>
              <w:rPr>
                <w:highlight w:val="none"/>
                <w:lang w:val="ru-RU"/>
              </w:rPr>
            </w:r>
          </w:p>
        </w:tc>
      </w:tr>
      <w:tr>
        <w:trPr/>
        <w:tc>
          <w:tcPr>
            <w:tcBorders/>
            <w:tcW w:w="1872" w:type="dxa"/>
            <w:textDirection w:val="lrTb"/>
            <w:noWrap w:val="false"/>
          </w:tcPr>
          <w:p w14:paraId="7B265B6C">
            <w:pPr>
              <w:pBdr/>
              <w:spacing/>
              <w:ind/>
              <w:rPr>
                <w:highlight w:val="none"/>
                <w:lang w:val="ru-RU" w:bidi="ru-RU"/>
              </w:rPr>
            </w:pPr>
            <w:r>
              <w:rPr>
                <w:highlight w:val="none"/>
                <w:lang w:val="en-US"/>
              </w:rPr>
              <w:t xml:space="preserve">Gas</w:t>
            </w:r>
            <w:r>
              <w:rPr>
                <w:highlight w:val="none"/>
                <w:lang w:val="ru-RU"/>
              </w:rPr>
            </w:r>
          </w:p>
        </w:tc>
        <w:tc>
          <w:tcPr>
            <w:tcBorders/>
            <w:tcW w:w="1872" w:type="dxa"/>
            <w:textDirection w:val="lrTb"/>
            <w:noWrap w:val="false"/>
          </w:tcPr>
          <w:p w14:paraId="716D2E07">
            <w:pPr>
              <w:pBdr/>
              <w:spacing/>
              <w:ind/>
              <w:rPr>
                <w:highlight w:val="none"/>
                <w:lang w:val="ru-RU" w:bidi="ru-RU"/>
              </w:rPr>
            </w:pPr>
            <w:r>
              <w:rPr>
                <w:highlight w:val="none"/>
                <w:lang w:val="en-US"/>
              </w:rPr>
              <w:t xml:space="preserve">Production</w:t>
            </w:r>
            <w:r>
              <w:rPr>
                <w:highlight w:val="none"/>
                <w:lang w:val="ru-RU"/>
              </w:rPr>
            </w:r>
          </w:p>
        </w:tc>
        <w:tc>
          <w:tcPr>
            <w:tcBorders/>
            <w:tcW w:w="1872" w:type="dxa"/>
            <w:textDirection w:val="lrTb"/>
            <w:noWrap w:val="false"/>
          </w:tcPr>
          <w:p w14:paraId="2B32BE42">
            <w:pPr>
              <w:pBdr/>
              <w:spacing/>
              <w:ind/>
              <w:rPr>
                <w:highlight w:val="none"/>
                <w:lang w:val="ru-RU" w:bidi="ru-RU"/>
              </w:rPr>
            </w:pPr>
            <w:r>
              <w:rPr>
                <w:highlight w:val="none"/>
                <w:lang w:val="en-US"/>
              </w:rPr>
              <w:t xml:space="preserve">T-test</w:t>
            </w:r>
            <w:r>
              <w:rPr>
                <w:highlight w:val="none"/>
                <w:lang w:val="ru-RU"/>
              </w:rPr>
            </w:r>
          </w:p>
        </w:tc>
        <w:tc>
          <w:tcPr>
            <w:tcBorders/>
            <w:tcW w:w="1872" w:type="dxa"/>
            <w:textDirection w:val="lrTb"/>
            <w:noWrap w:val="false"/>
          </w:tcPr>
          <w:p w14:paraId="63719872">
            <w:pPr>
              <w:pBdr/>
              <w:spacing/>
              <w:ind/>
              <w:rPr>
                <w:highlight w:val="none"/>
                <w:lang w:val="ru-RU" w:bidi="ru-RU"/>
              </w:rPr>
            </w:pPr>
            <w:r>
              <w:rPr>
                <w:highlight w:val="none"/>
                <w:lang w:val="en-US"/>
              </w:rPr>
              <w:t xml:space="preserve">0.777</w:t>
            </w:r>
            <w:r>
              <w:rPr>
                <w:highlight w:val="none"/>
                <w:lang w:val="ru-RU"/>
              </w:rPr>
            </w:r>
          </w:p>
        </w:tc>
        <w:tc>
          <w:tcPr>
            <w:tcBorders/>
            <w:tcW w:w="1872" w:type="dxa"/>
            <w:textDirection w:val="lrTb"/>
            <w:noWrap w:val="false"/>
          </w:tcPr>
          <w:p w14:paraId="7089D871">
            <w:pPr>
              <w:pBdr/>
              <w:spacing/>
              <w:ind/>
              <w:rPr>
                <w:highlight w:val="none"/>
                <w:lang w:val="ru-RU" w:bidi="ru-RU"/>
              </w:rPr>
            </w:pPr>
            <w:r>
              <w:rPr>
                <w:highlight w:val="none"/>
                <w:lang w:val="en-US"/>
              </w:rPr>
              <w:t xml:space="preserve">No</w:t>
            </w:r>
            <w:r>
              <w:rPr>
                <w:highlight w:val="none"/>
                <w:lang w:val="ru-RU"/>
              </w:rPr>
            </w:r>
          </w:p>
        </w:tc>
      </w:tr>
      <w:tr>
        <w:trPr/>
        <w:tc>
          <w:tcPr>
            <w:tcBorders/>
            <w:tcW w:w="1872" w:type="dxa"/>
            <w:textDirection w:val="lrTb"/>
            <w:noWrap w:val="false"/>
          </w:tcPr>
          <w:p w14:paraId="2D9C7D7C">
            <w:pPr>
              <w:pBdr/>
              <w:spacing/>
              <w:ind/>
              <w:rPr>
                <w:highlight w:val="none"/>
                <w:lang w:val="ru-RU" w:bidi="ru-RU"/>
              </w:rPr>
            </w:pPr>
            <w:r>
              <w:rPr>
                <w:highlight w:val="none"/>
                <w:lang w:val="en-US"/>
              </w:rPr>
              <w:t xml:space="preserve">Coal</w:t>
            </w:r>
            <w:r>
              <w:rPr>
                <w:highlight w:val="none"/>
                <w:lang w:val="ru-RU"/>
              </w:rPr>
            </w:r>
          </w:p>
        </w:tc>
        <w:tc>
          <w:tcPr>
            <w:tcBorders/>
            <w:tcW w:w="1872" w:type="dxa"/>
            <w:textDirection w:val="lrTb"/>
            <w:noWrap w:val="false"/>
          </w:tcPr>
          <w:p w14:paraId="34E649D3">
            <w:pPr>
              <w:pBdr/>
              <w:spacing/>
              <w:ind/>
              <w:rPr>
                <w:highlight w:val="none"/>
                <w:lang w:val="ru-RU" w:bidi="ru-RU"/>
              </w:rPr>
            </w:pPr>
            <w:r>
              <w:rPr>
                <w:highlight w:val="none"/>
                <w:lang w:val="en-US"/>
              </w:rPr>
              <w:t xml:space="preserve">Production</w:t>
            </w:r>
            <w:r>
              <w:rPr>
                <w:highlight w:val="none"/>
                <w:lang w:val="ru-RU"/>
              </w:rPr>
            </w:r>
          </w:p>
        </w:tc>
        <w:tc>
          <w:tcPr>
            <w:tcBorders/>
            <w:tcW w:w="1872" w:type="dxa"/>
            <w:textDirection w:val="lrTb"/>
            <w:noWrap w:val="false"/>
          </w:tcPr>
          <w:p w14:paraId="1A80C007">
            <w:pPr>
              <w:pBdr/>
              <w:spacing/>
              <w:ind/>
              <w:rPr>
                <w:highlight w:val="none"/>
                <w:lang w:val="ru-RU" w:bidi="ru-RU"/>
              </w:rPr>
            </w:pPr>
            <w:r>
              <w:rPr>
                <w:highlight w:val="none"/>
                <w:lang w:val="en-US"/>
              </w:rPr>
              <w:t xml:space="preserve">T-test</w:t>
            </w:r>
            <w:r>
              <w:rPr>
                <w:highlight w:val="none"/>
                <w:lang w:val="ru-RU"/>
              </w:rPr>
            </w:r>
          </w:p>
        </w:tc>
        <w:tc>
          <w:tcPr>
            <w:tcBorders/>
            <w:tcW w:w="1872" w:type="dxa"/>
            <w:textDirection w:val="lrTb"/>
            <w:noWrap w:val="false"/>
          </w:tcPr>
          <w:p w14:paraId="42B244D9">
            <w:pPr>
              <w:pBdr/>
              <w:spacing/>
              <w:ind/>
              <w:rPr>
                <w:highlight w:val="none"/>
                <w:lang w:val="ru-RU" w:bidi="ru-RU"/>
              </w:rPr>
            </w:pPr>
            <w:r>
              <w:rPr>
                <w:highlight w:val="none"/>
                <w:lang w:val="en-US"/>
              </w:rPr>
              <w:t xml:space="preserve">0.054</w:t>
            </w:r>
            <w:r>
              <w:rPr>
                <w:highlight w:val="none"/>
                <w:lang w:val="ru-RU"/>
              </w:rPr>
            </w:r>
          </w:p>
        </w:tc>
        <w:tc>
          <w:tcPr>
            <w:tcBorders/>
            <w:tcW w:w="1872" w:type="dxa"/>
            <w:textDirection w:val="lrTb"/>
            <w:noWrap w:val="false"/>
          </w:tcPr>
          <w:p w14:paraId="1AB87785">
            <w:pPr>
              <w:pBdr/>
              <w:spacing/>
              <w:ind/>
              <w:rPr>
                <w:highlight w:val="none"/>
                <w:lang w:val="ru-RU" w:bidi="ru-RU"/>
              </w:rPr>
            </w:pPr>
            <w:r>
              <w:rPr>
                <w:highlight w:val="none"/>
                <w:lang w:val="en-US"/>
              </w:rPr>
              <w:t xml:space="preserve">No</w:t>
            </w:r>
            <w:r>
              <w:rPr>
                <w:highlight w:val="none"/>
                <w:lang w:val="ru-RU"/>
              </w:rPr>
            </w:r>
          </w:p>
        </w:tc>
      </w:tr>
      <w:tr>
        <w:trPr/>
        <w:tc>
          <w:tcPr>
            <w:tcBorders/>
            <w:tcW w:w="1872" w:type="dxa"/>
            <w:textDirection w:val="lrTb"/>
            <w:noWrap w:val="false"/>
          </w:tcPr>
          <w:p w14:paraId="4D024B2A">
            <w:pPr>
              <w:pBdr/>
              <w:spacing/>
              <w:ind/>
              <w:rPr>
                <w:highlight w:val="none"/>
                <w:lang w:val="ru-RU" w:bidi="ru-RU"/>
              </w:rPr>
            </w:pPr>
            <w:r>
              <w:rPr>
                <w:highlight w:val="none"/>
                <w:lang w:val="en-US"/>
              </w:rPr>
              <w:t xml:space="preserve">CO2</w:t>
            </w:r>
            <w:r>
              <w:rPr>
                <w:highlight w:val="none"/>
                <w:lang w:val="ru-RU"/>
              </w:rPr>
            </w:r>
          </w:p>
        </w:tc>
        <w:tc>
          <w:tcPr>
            <w:tcBorders/>
            <w:tcW w:w="1872" w:type="dxa"/>
            <w:textDirection w:val="lrTb"/>
            <w:noWrap w:val="false"/>
          </w:tcPr>
          <w:p w14:paraId="7BB4CD58">
            <w:pPr>
              <w:pBdr/>
              <w:spacing/>
              <w:ind/>
              <w:rPr>
                <w:highlight w:val="none"/>
                <w:lang w:val="ru-RU" w:bidi="ru-RU"/>
              </w:rPr>
            </w:pPr>
            <w:r>
              <w:rPr>
                <w:highlight w:val="none"/>
                <w:lang w:val="en-US"/>
              </w:rPr>
              <w:t xml:space="preserve">Emissions</w:t>
            </w:r>
            <w:r>
              <w:rPr>
                <w:highlight w:val="none"/>
                <w:lang w:val="ru-RU"/>
              </w:rPr>
            </w:r>
          </w:p>
        </w:tc>
        <w:tc>
          <w:tcPr>
            <w:tcBorders/>
            <w:tcW w:w="1872" w:type="dxa"/>
            <w:textDirection w:val="lrTb"/>
            <w:noWrap w:val="false"/>
          </w:tcPr>
          <w:p w14:paraId="3B19871B">
            <w:pPr>
              <w:pBdr/>
              <w:spacing/>
              <w:ind/>
              <w:rPr>
                <w:highlight w:val="none"/>
                <w:lang w:val="ru-RU" w:bidi="ru-RU"/>
              </w:rPr>
            </w:pPr>
            <w:r>
              <w:rPr>
                <w:highlight w:val="none"/>
                <w:lang w:val="en-US"/>
              </w:rPr>
              <w:t xml:space="preserve">ANOVA</w:t>
            </w:r>
            <w:r>
              <w:rPr>
                <w:highlight w:val="none"/>
                <w:lang w:val="ru-RU"/>
              </w:rPr>
            </w:r>
          </w:p>
        </w:tc>
        <w:tc>
          <w:tcPr>
            <w:tcBorders/>
            <w:tcW w:w="1872" w:type="dxa"/>
            <w:textDirection w:val="lrTb"/>
            <w:noWrap w:val="false"/>
          </w:tcPr>
          <w:p w14:paraId="445ED409">
            <w:pPr>
              <w:pBdr/>
              <w:spacing/>
              <w:ind/>
              <w:rPr>
                <w:highlight w:val="none"/>
                <w:lang w:val="ru-RU" w:bidi="ru-RU"/>
              </w:rPr>
            </w:pPr>
            <w:r>
              <w:rPr>
                <w:highlight w:val="none"/>
                <w:lang w:val="en-US"/>
              </w:rPr>
              <w:t xml:space="preserve">0.000</w:t>
            </w:r>
            <w:r>
              <w:rPr>
                <w:highlight w:val="none"/>
                <w:lang w:val="ru-RU"/>
              </w:rPr>
            </w:r>
          </w:p>
        </w:tc>
        <w:tc>
          <w:tcPr>
            <w:tcBorders/>
            <w:tcW w:w="1872" w:type="dxa"/>
            <w:textDirection w:val="lrTb"/>
            <w:noWrap w:val="false"/>
          </w:tcPr>
          <w:p w14:paraId="73D13219">
            <w:pPr>
              <w:pBdr/>
              <w:spacing/>
              <w:ind/>
              <w:rPr>
                <w:highlight w:val="none"/>
                <w:lang w:val="ru-RU" w:bidi="ru-RU"/>
              </w:rPr>
            </w:pPr>
            <w:r>
              <w:rPr>
                <w:highlight w:val="none"/>
                <w:lang w:val="en-US"/>
              </w:rPr>
              <w:t xml:space="preserve">Yes</w:t>
            </w:r>
            <w:r>
              <w:rPr>
                <w:highlight w:val="none"/>
                <w:lang w:val="ru-RU"/>
              </w:rPr>
            </w:r>
          </w:p>
        </w:tc>
      </w:tr>
    </w:tbl>
    <w:p w14:paraId="27641E05">
      <w:pPr>
        <w:pBdr/>
        <w:spacing/>
        <w:ind/>
        <w:rPr>
          <w:highlight w:val="none"/>
          <w:lang w:val="ru-RU" w:bidi="ru-RU"/>
        </w:rPr>
      </w:pPr>
      <w:r>
        <w:rPr>
          <w:highlight w:val="none"/>
          <w:lang w:val="ru-RU" w:bidi="ru-RU"/>
        </w:rPr>
      </w:r>
      <w:r>
        <w:rPr>
          <w:highlight w:val="none"/>
          <w:lang w:val="ru-RU" w:bidi="ru-RU"/>
        </w:rPr>
      </w:r>
      <w:r>
        <w:rPr>
          <w:highlight w:val="none"/>
          <w:lang w:val="ru-RU" w:bidi="ru-RU"/>
        </w:rPr>
      </w:r>
    </w:p>
    <w:p w14:paraId="00C27C60">
      <w:pPr>
        <w:pBdr/>
        <w:spacing/>
        <w:ind/>
        <w:rPr>
          <w:highlight w:val="none"/>
          <w:lang w:val="ru-RU" w:bidi="ru-RU"/>
        </w:rPr>
      </w:pPr>
      <w:r>
        <w:rPr>
          <w:highlight w:val="none"/>
          <w:lang w:val="ru-RU" w:bidi="ru-RU"/>
        </w:rPr>
        <w:t xml:space="preserve">Final conclusion on the hypotheses</w:t>
      </w:r>
      <w:r>
        <w:rPr>
          <w:highlight w:val="none"/>
          <w:lang w:val="ru-RU" w:bidi="ru-RU"/>
        </w:rPr>
      </w:r>
      <w:r>
        <w:rPr>
          <w:highlight w:val="none"/>
          <w:lang w:val="ru-RU" w:bidi="ru-RU"/>
        </w:rPr>
      </w:r>
    </w:p>
    <w:p w14:paraId="1EE028FF">
      <w:pPr>
        <w:pStyle w:val="1010"/>
        <w:numPr>
          <w:ilvl w:val="0"/>
          <w:numId w:val="46"/>
        </w:numPr>
        <w:pBdr/>
        <w:spacing/>
        <w:ind/>
        <w:rPr/>
      </w:pPr>
      <w:r>
        <w:rPr>
          <w:highlight w:val="none"/>
          <w:lang w:val="ru-RU" w:bidi="ru-RU"/>
        </w:rPr>
        <w:t xml:space="preserve">Geographical determinism: For all types of resources and metrics (production, consumption, emissions), the region is a critical factor. The hypothesis of regional equality is rejected in all cases.</w:t>
      </w:r>
      <w:r/>
    </w:p>
    <w:p w14:paraId="3D9B1E47">
      <w:pPr>
        <w:pStyle w:val="1010"/>
        <w:numPr>
          <w:ilvl w:val="0"/>
          <w:numId w:val="46"/>
        </w:numPr>
        <w:pBdr/>
        <w:spacing/>
        <w:ind/>
        <w:rPr/>
      </w:pPr>
      <w:r>
        <w:rPr>
          <w:highlight w:val="none"/>
          <w:lang w:val="ru-RU" w:bidi="ru-RU"/>
        </w:rPr>
        <w:t xml:space="preserve">The only exception (Gas Production): The only test that did not show significant differences was the comparison of gas production in the US and Russia. This confirms their status as two comparable global leaders in the gas industry in terms of capacity.</w:t>
      </w:r>
      <w:r/>
    </w:p>
    <w:p w14:paraId="61A3F185">
      <w:pPr>
        <w:pStyle w:val="1010"/>
        <w:numPr>
          <w:ilvl w:val="0"/>
          <w:numId w:val="46"/>
        </w:numPr>
        <w:pBdr/>
        <w:spacing/>
        <w:ind/>
        <w:rPr>
          <w:highlight w:val="none"/>
          <w:lang w:val="ru-RU" w:bidi="ru-RU"/>
        </w:rPr>
      </w:pPr>
      <w:r>
        <w:rPr>
          <w:highlight w:val="none"/>
          <w:lang w:val="ru-RU" w:bidi="ru-RU"/>
        </w:rPr>
        <w:t xml:space="preserve">C</w:t>
      </w:r>
      <w:r>
        <w:rPr>
          <w:highlight w:val="none"/>
          <w:lang w:val="ru-RU" w:bidi="ru-RU"/>
        </w:rPr>
        <w:t xml:space="preserve">oal uncertainty: The difference in coal production between China and the US is not statistically significant at the 5% level (p=0.054), indicating historical competition between these countries in the extraction of this resource until China's sharp breakaw</w:t>
      </w:r>
      <w:r>
        <w:rPr>
          <w:highlight w:val="none"/>
          <w:lang w:val="ru-RU" w:bidi="ru-RU"/>
        </w:rPr>
        <w:t xml:space="preserve">ay in recent decades.</w:t>
      </w:r>
      <w:r>
        <w:rPr>
          <w:highlight w:val="none"/>
          <w:lang w:val="ru-RU" w:bidi="ru-RU"/>
        </w:rPr>
      </w:r>
      <w:r>
        <w:rPr>
          <w:highlight w:val="none"/>
          <w:lang w:val="ru-RU" w:bidi="ru-RU"/>
        </w:rPr>
      </w:r>
    </w:p>
    <w:p w14:paraId="094140C8">
      <w:pPr>
        <w:pBdr/>
        <w:shd w:val="nil" w:color="auto"/>
        <w:spacing/>
        <w:ind/>
        <w:rPr>
          <w:highlight w:val="none"/>
          <w:lang w:val="ru-RU" w:bidi="ru-RU"/>
        </w:rPr>
      </w:pPr>
      <w:r>
        <w:rPr>
          <w:highlight w:val="none"/>
          <w:lang w:val="ru-RU" w:bidi="ru-RU"/>
        </w:rPr>
        <w:br w:type="page" w:clear="all"/>
      </w:r>
      <w:r>
        <w:rPr>
          <w:highlight w:val="none"/>
          <w:lang w:val="ru-RU" w:bidi="ru-RU"/>
        </w:rPr>
      </w:r>
      <w:r>
        <w:rPr>
          <w:highlight w:val="none"/>
          <w:lang w:val="ru-RU" w:bidi="ru-RU"/>
        </w:rPr>
      </w:r>
    </w:p>
    <w:p w14:paraId="1D941DC2">
      <w:pPr>
        <w:pStyle w:val="949"/>
        <w:pBdr/>
        <w:spacing/>
        <w:ind/>
        <w:rPr>
          <w:highlight w:val="none"/>
          <w:lang w:val="ru-RU" w:bidi="ru-RU"/>
        </w:rPr>
      </w:pPr>
      <w:r/>
      <w:bookmarkStart w:id="27" w:name="_Toc27"/>
      <w:r>
        <w:rPr>
          <w:highlight w:val="none"/>
          <w:lang w:val="ru-RU" w:bidi="ru-RU"/>
        </w:rPr>
        <w:t xml:space="preserve">Multivariate data analysis: PCA and Clustering (K-Means)</w:t>
      </w:r>
      <w:r>
        <w:rPr>
          <w:highlight w:val="none"/>
          <w:lang w:val="ru-RU" w:bidi="ru-RU"/>
        </w:rPr>
      </w:r>
      <w:bookmarkEnd w:id="27"/>
      <w:r/>
      <w:r>
        <w:rPr>
          <w:highlight w:val="none"/>
          <w:lang w:val="ru-RU" w:bidi="ru-RU"/>
        </w:rPr>
      </w:r>
    </w:p>
    <w:p w14:paraId="744933B2">
      <w:pPr>
        <w:pBdr/>
        <w:spacing/>
        <w:ind/>
        <w:rPr>
          <w:highlight w:val="none"/>
          <w:lang w:val="ru-RU" w:bidi="ru-RU"/>
        </w:rPr>
      </w:pPr>
      <w:r>
        <w:rPr>
          <w:highlight w:val="none"/>
          <w:lang w:val="ru-RU" w:bidi="ru-RU"/>
        </w:rPr>
      </w:r>
      <w:r>
        <w:rPr>
          <w:highlight w:val="none"/>
          <w:lang w:val="ru-RU" w:bidi="ru-RU"/>
        </w:rPr>
        <w:t xml:space="preserve">In this section, we move from analyzing individual resources to a comprehensive comparison of countries' energy profiles. We used principal component analysis (PCA) to reduce the dimensionality and the K-Means algorithm to segment countries.</w:t>
      </w:r>
      <w:r>
        <w:rPr>
          <w:highlight w:val="none"/>
          <w:lang w:val="ru-RU" w:bidi="ru-RU"/>
        </w:rPr>
      </w:r>
      <w:r>
        <w:rPr>
          <w:highlight w:val="none"/>
          <w:lang w:val="ru-RU" w:bidi="ru-RU"/>
        </w:rPr>
      </w:r>
    </w:p>
    <w:p w14:paraId="112D11F1">
      <w:pPr>
        <w:pStyle w:val="950"/>
        <w:pBdr/>
        <w:spacing/>
        <w:ind/>
        <w:rPr>
          <w14:ligatures w14:val="none"/>
        </w:rPr>
      </w:pPr>
      <w:r/>
      <w:r>
        <w:rPr>
          <w:highlight w:val="none"/>
          <w:lang w:val="ru-RU" w:bidi="ru-RU"/>
        </w:rPr>
        <w:t xml:space="preserve">1. Principal Component Analysis (PCA)</w:t>
      </w:r>
      <w:r>
        <w:rPr>
          <w:lang w:val="ru-RU" w:bidi="ru-RU"/>
        </w:rPr>
      </w:r>
      <w:r>
        <w:rPr>
          <w14:ligatures w14:val="none"/>
        </w:rPr>
      </w:r>
      <w:r>
        <w:rPr>
          <w14:ligatures w14:val="none"/>
        </w:rPr>
      </w:r>
    </w:p>
    <w:p w14:paraId="5D75B370">
      <w:pPr>
        <w:pBdr/>
        <w:spacing/>
        <w:ind/>
        <w:rPr/>
      </w:pPr>
      <w:r>
        <w:rPr>
          <w:highlight w:val="none"/>
          <w:lang w:val="ru-RU" w:bidi="ru-RU"/>
        </w:rPr>
        <w:t xml:space="preserve">For the analysis, a summary table was created where all metrics (Production, Consumption, Emissions) for all resource types were aggregated for each country.</w:t>
      </w:r>
      <w:r/>
    </w:p>
    <w:p w14:paraId="16747CB4">
      <w:pPr>
        <w:pStyle w:val="1010"/>
        <w:numPr>
          <w:ilvl w:val="0"/>
          <w:numId w:val="47"/>
        </w:numPr>
        <w:pBdr/>
        <w:spacing/>
        <w:ind/>
        <w:rPr/>
      </w:pPr>
      <w:r>
        <w:rPr>
          <w:highlight w:val="none"/>
          <w:lang w:val="ru-RU" w:bidi="ru-RU"/>
        </w:rPr>
        <w:t xml:space="preserve">Explained variance: The first two principal components (PC1 and PC2) explain the vast majority of the data variability.</w:t>
      </w:r>
      <w:r/>
    </w:p>
    <w:p w14:paraId="43726E10">
      <w:pPr>
        <w:pStyle w:val="1010"/>
        <w:numPr>
          <w:ilvl w:val="0"/>
          <w:numId w:val="47"/>
        </w:numPr>
        <w:pBdr/>
        <w:spacing/>
        <w:ind/>
        <w:rPr/>
      </w:pPr>
      <w:r>
        <w:rPr>
          <w:highlight w:val="none"/>
          <w:lang w:val="ru-RU" w:bidi="ru-RU"/>
        </w:rPr>
        <w:t xml:space="preserve">PC1 (Scale axis): Probably responsible for the overall scale of a country's energy system (the higher the production and consumption of any resource, the higher the value).</w:t>
      </w:r>
      <w:r/>
    </w:p>
    <w:p w14:paraId="6BD20C7D">
      <w:pPr>
        <w:pStyle w:val="1010"/>
        <w:numPr>
          <w:ilvl w:val="0"/>
          <w:numId w:val="47"/>
        </w:numPr>
        <w:pBdr/>
        <w:spacing/>
        <w:ind/>
        <w:rPr>
          <w:lang w:val="ru-RU" w:bidi="ru-RU"/>
        </w:rPr>
      </w:pPr>
      <w:r>
        <w:rPr>
          <w:highlight w:val="none"/>
          <w:lang w:val="ru-RU" w:bidi="ru-RU"/>
        </w:rPr>
        <w:t xml:space="preserve">PC2 (Structure axis): Probably reflects specialization (e.g., the predominance of production over consumption or an emphasis on a specific fuel type, such as coal).</w:t>
      </w:r>
      <w:r>
        <w:rPr>
          <w:lang w:val="ru-RU" w:bidi="ru-RU"/>
        </w:rPr>
      </w:r>
      <w:r>
        <w:rPr>
          <w:lang w:val="ru-RU" w:bidi="ru-RU"/>
        </w:rPr>
      </w:r>
    </w:p>
    <w:p w14:paraId="01370653">
      <w:pPr>
        <w:pStyle w:val="951"/>
        <w:pBdr/>
        <w:spacing/>
        <w:ind/>
        <w:rPr>
          <w14:ligatures w14:val="none"/>
        </w:rPr>
      </w:pPr>
      <w:r/>
      <w:r>
        <w:rPr>
          <w:highlight w:val="none"/>
          <w:lang w:val="ru-RU" w:bidi="ru-RU"/>
        </w:rPr>
        <w:t xml:space="preserve">The majority of countries</w:t>
      </w:r>
      <w:r>
        <w:rPr>
          <w:lang w:val="ru-RU" w:bidi="ru-RU"/>
        </w:rPr>
      </w:r>
      <w:r>
        <w:rPr>
          <w14:ligatures w14:val="none"/>
        </w:rPr>
      </w:r>
      <w:r>
        <w:rPr>
          <w14:ligatures w14:val="none"/>
        </w:rPr>
      </w:r>
    </w:p>
    <w:p w14:paraId="304D4CB5">
      <w:pPr>
        <w:pBdr/>
        <w:spacing/>
        <w:ind/>
        <w:rPr>
          <w:highlight w:val="none"/>
          <w:lang w:val="ru-RU" w:bidi="ru-RU"/>
        </w:rPr>
      </w:pPr>
      <w:r>
        <w:rPr>
          <w:highlight w:val="none"/>
          <w:lang w:val="ru-RU" w:bidi="ru-RU"/>
        </w:rPr>
      </w:r>
      <w:r>
        <w:rPr>
          <w:highlight w:val="none"/>
          <w:lang w:val="ru-RU" w:bidi="ru-RU"/>
        </w:rPr>
        <w:t xml:space="preserve">For a detailed study of most countries, we selected a group up to the 95th percentile to avoid distortion of the scale by giants.</w:t>
      </w:r>
      <w:r>
        <w:rPr>
          <w:highlight w:val="none"/>
          <w:lang w:val="ru-RU" w:bidi="ru-RU"/>
        </w:rPr>
      </w:r>
      <w:r>
        <w:rPr>
          <w:highlight w:val="none"/>
          <w:lang w:val="ru-RU" w:bidi="ru-RU"/>
        </w:rPr>
      </w:r>
    </w:p>
    <w:p w14:paraId="73C5A585">
      <w:pPr>
        <w:pBdr/>
        <w:spacing/>
        <w:ind/>
        <w:rPr>
          <w:highlight w:val="none"/>
          <w:lang w:val="ru-RU" w:bidi="ru-RU"/>
        </w:rPr>
      </w:pPr>
      <w:r>
        <w:rPr>
          <w:highlight w:val="none"/>
          <w:lang w:val="ru-RU" w:bidi="ru-RU"/>
        </w:rPr>
      </w:r>
      <w:r>
        <mc:AlternateContent>
          <mc:Choice Requires="wpg">
            <w:drawing>
              <wp:inline xmlns:wp="http://schemas.openxmlformats.org/drawingml/2006/wordprocessingDrawing" distT="0" distB="0" distL="0" distR="0">
                <wp:extent cx="5943600" cy="4107127"/>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081048" name=""/>
                        <pic:cNvPicPr>
                          <a:picLocks noChangeAspect="1"/>
                        </pic:cNvPicPr>
                        <pic:nvPr/>
                      </pic:nvPicPr>
                      <pic:blipFill rotWithShape="1">
                        <a:blip r:embed="rId29"/>
                        <a:stretch/>
                      </pic:blipFill>
                      <pic:spPr bwMode="auto">
                        <a:xfrm>
                          <a:off x="0" y="0"/>
                          <a:ext cx="5943598" cy="410712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68.00pt;height:323.40pt;mso-wrap-distance-left:0.00pt;mso-wrap-distance-top:0.00pt;mso-wrap-distance-right:0.00pt;mso-wrap-distance-bottom:0.00pt;z-index:1;" stroked="false">
                <v:imagedata r:id="rId29" o:title=""/>
                <o:lock v:ext="edit" rotation="t"/>
              </v:shape>
            </w:pict>
          </mc:Fallback>
        </mc:AlternateContent>
      </w:r>
      <w:r>
        <w:rPr>
          <w:highlight w:val="none"/>
          <w:lang w:val="ru-RU" w:bidi="ru-RU"/>
        </w:rPr>
      </w:r>
      <w:r>
        <w:rPr>
          <w:highlight w:val="none"/>
          <w:lang w:val="ru-RU" w:bidi="ru-RU"/>
        </w:rPr>
      </w:r>
    </w:p>
    <w:p w14:paraId="4D591EFD">
      <w:pPr>
        <w:pStyle w:val="985"/>
        <w:pBdr/>
        <w:spacing/>
        <w:ind/>
        <w:rPr/>
      </w:pPr>
      <w:r>
        <w:t xml:space="preserve">Picture </w:t>
      </w:r>
      <w:r>
        <w:fldChar w:fldCharType="begin"/>
        <w:instrText xml:space="preserve"> SEQ Picture \* Arabic </w:instrText>
        <w:fldChar w:fldCharType="separate"/>
      </w:r>
      <w:r>
        <w:t xml:space="preserve">19</w:t>
      </w:r>
      <w:r>
        <w:fldChar w:fldCharType="end"/>
      </w:r>
      <w:r>
        <w:rPr>
          <w:lang w:val="en-US"/>
        </w:rPr>
        <w:t xml:space="preserve"> – PCA.</w:t>
      </w:r>
      <w:r/>
    </w:p>
    <w:p w14:paraId="3CF77283">
      <w:pPr>
        <w:pBdr/>
        <w:spacing/>
        <w:ind/>
        <w:rPr>
          <w:lang w:val="ru-RU" w:bidi="ru-RU"/>
        </w:rPr>
      </w:pPr>
      <w:r>
        <w:rPr>
          <w:lang w:val="ru-RU" w:bidi="ru-RU"/>
        </w:rPr>
      </w:r>
      <w:r>
        <w:rPr>
          <w:lang w:val="ru-RU" w:bidi="ru-RU"/>
        </w:rPr>
      </w:r>
      <w:r>
        <w:rPr>
          <w:lang w:val="ru-RU" w:bidi="ru-RU"/>
        </w:rPr>
      </w:r>
    </w:p>
    <w:p w14:paraId="11CA057B">
      <w:pPr>
        <w:pStyle w:val="951"/>
        <w:pBdr/>
        <w:spacing/>
        <w:ind/>
        <w:rPr>
          <w:lang w:val="ru-RU" w:bidi="ru-RU"/>
        </w:rPr>
      </w:pPr>
      <w:r/>
      <w:r>
        <w:rPr>
          <w:highlight w:val="none"/>
          <w:lang w:val="ru-RU" w:bidi="ru-RU"/>
        </w:rPr>
        <w:t xml:space="preserve">Outliers</w:t>
      </w:r>
      <w:r>
        <w:rPr>
          <w:lang w:val="ru-RU" w:bidi="ru-RU"/>
        </w:rPr>
      </w:r>
      <w:r>
        <w:rPr>
          <w:lang w:val="ru-RU" w:bidi="ru-RU"/>
        </w:rPr>
      </w:r>
      <w:r>
        <w:rPr>
          <w:lang w:val="ru-RU" w:bidi="ru-RU"/>
        </w:rPr>
      </w:r>
    </w:p>
    <w:p w14:paraId="1B92016D">
      <w:pPr>
        <w:pBdr/>
        <w:spacing/>
        <w:ind/>
        <w:rPr>
          <w:highlight w:val="none"/>
          <w:lang w:val="ru-RU" w:bidi="ru-RU"/>
        </w:rPr>
      </w:pPr>
      <w:r>
        <w:rPr>
          <w:highlight w:val="none"/>
          <w:lang w:val="ru-RU" w:bidi="ru-RU"/>
        </w:rPr>
      </w:r>
      <w:r>
        <w:rPr>
          <w:highlight w:val="none"/>
          <w:lang w:val="ru-RU" w:bidi="ru-RU"/>
        </w:rPr>
        <w:t xml:space="preserve">Countries outside the 95th percentile are key players in the global market (the US, China, Russia, Saudi Arabia). They form their own unique vectors on the PCA graph.</w:t>
      </w:r>
      <w:r>
        <w:rPr>
          <w:highlight w:val="none"/>
          <w:lang w:val="ru-RU" w:bidi="ru-RU"/>
        </w:rPr>
      </w:r>
      <w:r>
        <w:rPr>
          <w:highlight w:val="none"/>
          <w:lang w:val="ru-RU" w:bidi="ru-RU"/>
        </w:rPr>
      </w:r>
    </w:p>
    <w:p w14:paraId="670969DA">
      <w:pPr>
        <w:pBdr/>
        <w:spacing/>
        <w:ind/>
        <w:rPr>
          <w:highlight w:val="none"/>
          <w:lang w:val="ru-RU" w:bidi="ru-RU"/>
        </w:rPr>
      </w:pPr>
      <w:r>
        <w:rPr>
          <w:highlight w:val="none"/>
          <w:lang w:val="ru-RU" w:bidi="ru-RU"/>
        </w:rPr>
      </w:r>
      <w:r>
        <mc:AlternateContent>
          <mc:Choice Requires="wpg">
            <w:drawing>
              <wp:inline xmlns:wp="http://schemas.openxmlformats.org/drawingml/2006/wordprocessingDrawing" distT="0" distB="0" distL="0" distR="0">
                <wp:extent cx="5943600" cy="3982610"/>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179635" name=""/>
                        <pic:cNvPicPr>
                          <a:picLocks noChangeAspect="1"/>
                        </pic:cNvPicPr>
                        <pic:nvPr/>
                      </pic:nvPicPr>
                      <pic:blipFill rotWithShape="1">
                        <a:blip r:embed="rId30"/>
                        <a:stretch/>
                      </pic:blipFill>
                      <pic:spPr bwMode="auto">
                        <a:xfrm>
                          <a:off x="0" y="0"/>
                          <a:ext cx="5943598" cy="398260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68.00pt;height:313.59pt;mso-wrap-distance-left:0.00pt;mso-wrap-distance-top:0.00pt;mso-wrap-distance-right:0.00pt;mso-wrap-distance-bottom:0.00pt;z-index:1;" stroked="false">
                <v:imagedata r:id="rId30" o:title=""/>
                <o:lock v:ext="edit" rotation="t"/>
              </v:shape>
            </w:pict>
          </mc:Fallback>
        </mc:AlternateContent>
      </w:r>
      <w:r>
        <w:rPr>
          <w:highlight w:val="none"/>
          <w:lang w:val="ru-RU" w:bidi="ru-RU"/>
        </w:rPr>
      </w:r>
      <w:r>
        <w:rPr>
          <w:highlight w:val="none"/>
          <w:lang w:val="ru-RU" w:bidi="ru-RU"/>
        </w:rPr>
      </w:r>
    </w:p>
    <w:p w14:paraId="5D6C0886">
      <w:pPr>
        <w:pStyle w:val="985"/>
        <w:pBdr/>
        <w:spacing/>
        <w:ind/>
        <w:rPr/>
      </w:pPr>
      <w:r>
        <w:t xml:space="preserve">Picture </w:t>
      </w:r>
      <w:r>
        <w:fldChar w:fldCharType="begin"/>
        <w:instrText xml:space="preserve"> SEQ Picture \* Arabic </w:instrText>
        <w:fldChar w:fldCharType="separate"/>
      </w:r>
      <w:r>
        <w:t xml:space="preserve">20</w:t>
      </w:r>
      <w:r>
        <w:fldChar w:fldCharType="end"/>
      </w:r>
      <w:r>
        <w:rPr>
          <w:lang w:val="en-US"/>
        </w:rPr>
        <w:t xml:space="preserve"> – PCA Outliners.</w:t>
      </w:r>
      <w:r/>
    </w:p>
    <w:p w14:paraId="7B119B08">
      <w:pPr>
        <w:pStyle w:val="950"/>
        <w:pBdr/>
        <w:spacing/>
        <w:ind/>
        <w:rPr>
          <w:lang w:val="ru-RU" w:bidi="ru-RU"/>
        </w:rPr>
      </w:pPr>
      <w:r/>
      <w:r>
        <w:rPr>
          <w:highlight w:val="none"/>
          <w:lang w:val="ru-RU" w:bidi="ru-RU"/>
        </w:rPr>
        <w:t xml:space="preserve">2. Country segmentation (K-Means Clustering)</w:t>
      </w:r>
      <w:r>
        <w:rPr>
          <w:lang w:val="ru-RU" w:bidi="ru-RU"/>
        </w:rPr>
      </w:r>
      <w:r>
        <w:rPr>
          <w:lang w:val="ru-RU" w:bidi="ru-RU"/>
        </w:rPr>
      </w:r>
      <w:r>
        <w:rPr>
          <w:lang w:val="ru-RU" w:bidi="ru-RU"/>
        </w:rPr>
      </w:r>
    </w:p>
    <w:p w14:paraId="378EC663">
      <w:pPr>
        <w:pBdr/>
        <w:spacing/>
        <w:ind/>
        <w:rPr>
          <w:highlight w:val="none"/>
          <w:lang w:val="ru-RU" w:bidi="ru-RU"/>
        </w:rPr>
      </w:pPr>
      <w:r>
        <w:rPr>
          <w:highlight w:val="none"/>
          <w:lang w:val="ru-RU" w:bidi="ru-RU"/>
        </w:rPr>
      </w:r>
      <w:r>
        <w:rPr>
          <w:highlight w:val="none"/>
          <w:lang w:val="ru-RU" w:bidi="ru-RU"/>
        </w:rPr>
        <w:t xml:space="preserve">We applied the K-Means algorithm to identify five clusters of countries with similar energy consumption and production patterns.</w:t>
      </w:r>
      <w:r>
        <w:rPr>
          <w:highlight w:val="none"/>
          <w:lang w:val="ru-RU" w:bidi="ru-RU"/>
        </w:rPr>
      </w:r>
      <w:r>
        <w:rPr>
          <w:highlight w:val="none"/>
          <w:lang w:val="ru-RU" w:bidi="ru-RU"/>
        </w:rPr>
      </w:r>
    </w:p>
    <w:p w14:paraId="04BEE590">
      <w:pPr>
        <w:pBdr/>
        <w:spacing/>
        <w:ind/>
        <w:rPr>
          <w:highlight w:val="none"/>
          <w:lang w:val="ru-RU" w:bidi="ru-RU"/>
        </w:rPr>
      </w:pPr>
      <w:r>
        <w:rPr>
          <w:lang w:val="ru-RU" w:bidi="ru-RU"/>
        </w:rPr>
      </w:r>
      <w:r>
        <w:rPr>
          <w:highlight w:val="none"/>
          <w:lang w:val="ru-RU" w:bidi="ru-RU"/>
        </w:rPr>
      </w:r>
      <w:r>
        <w:rPr>
          <w:highlight w:val="none"/>
          <w:lang w:val="ru-RU" w:bidi="ru-RU"/>
        </w:rPr>
      </w:r>
    </w:p>
    <w:p w14:paraId="1964C854">
      <w:pPr>
        <w:pBdr/>
        <w:spacing/>
        <w:ind/>
        <w:rPr>
          <w:highlight w:val="none"/>
          <w:lang w:val="ru-RU" w:bidi="ru-RU"/>
        </w:rPr>
      </w:pPr>
      <w:r>
        <w:rPr>
          <w:highlight w:val="none"/>
          <w:lang w:val="ru-RU" w:bidi="ru-RU"/>
        </w:rPr>
      </w:r>
      <w:r>
        <mc:AlternateContent>
          <mc:Choice Requires="wpg">
            <w:drawing>
              <wp:inline xmlns:wp="http://schemas.openxmlformats.org/drawingml/2006/wordprocessingDrawing" distT="0" distB="0" distL="0" distR="0">
                <wp:extent cx="5943600" cy="3962400"/>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332132" name=""/>
                        <pic:cNvPicPr>
                          <a:picLocks noChangeAspect="1"/>
                        </pic:cNvPicPr>
                        <pic:nvPr/>
                      </pic:nvPicPr>
                      <pic:blipFill rotWithShape="1">
                        <a:blip r:embed="rId31"/>
                        <a:stretch/>
                      </pic:blipFill>
                      <pic:spPr bwMode="auto">
                        <a:xfrm>
                          <a:off x="0" y="0"/>
                          <a:ext cx="5943598" cy="39623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68.00pt;height:312.00pt;mso-wrap-distance-left:0.00pt;mso-wrap-distance-top:0.00pt;mso-wrap-distance-right:0.00pt;mso-wrap-distance-bottom:0.00pt;z-index:1;" stroked="false">
                <v:imagedata r:id="rId31" o:title=""/>
                <o:lock v:ext="edit" rotation="t"/>
              </v:shape>
            </w:pict>
          </mc:Fallback>
        </mc:AlternateContent>
      </w:r>
      <w:r>
        <w:rPr>
          <w:highlight w:val="none"/>
          <w:lang w:val="ru-RU" w:bidi="ru-RU"/>
        </w:rPr>
      </w:r>
      <w:r>
        <w:rPr>
          <w:highlight w:val="none"/>
          <w:lang w:val="ru-RU" w:bidi="ru-RU"/>
        </w:rPr>
      </w:r>
    </w:p>
    <w:p w14:paraId="03723726">
      <w:pPr>
        <w:pStyle w:val="985"/>
        <w:pBdr/>
        <w:spacing/>
        <w:ind/>
        <w:rPr/>
      </w:pPr>
      <w:r>
        <w:t xml:space="preserve">Picture </w:t>
      </w:r>
      <w:r>
        <w:fldChar w:fldCharType="begin"/>
        <w:instrText xml:space="preserve"> SEQ Picture \* Arabic </w:instrText>
        <w:fldChar w:fldCharType="separate"/>
      </w:r>
      <w:r>
        <w:t xml:space="preserve">21</w:t>
      </w:r>
      <w:r>
        <w:fldChar w:fldCharType="end"/>
      </w:r>
      <w:r>
        <w:rPr>
          <w:lang w:val="en-US"/>
        </w:rPr>
        <w:t xml:space="preserve"> – PCA + KMeans.</w:t>
      </w:r>
      <w:r/>
    </w:p>
    <w:p w14:paraId="094EADCF">
      <w:pPr>
        <w:pStyle w:val="951"/>
        <w:pBdr/>
        <w:spacing/>
        <w:ind/>
        <w:rPr>
          <w:lang w:val="ru-RU" w:bidi="ru-RU"/>
        </w:rPr>
      </w:pPr>
      <w:r/>
      <w:r>
        <w:rPr>
          <w:highlight w:val="none"/>
          <w:lang w:val="ru-RU" w:bidi="ru-RU"/>
        </w:rPr>
        <w:t xml:space="preserve">Interpretation of clusters:</w:t>
      </w:r>
      <w:r>
        <w:rPr>
          <w:lang w:val="ru-RU" w:bidi="ru-RU"/>
        </w:rPr>
      </w:r>
      <w:r>
        <w:rPr>
          <w:lang w:val="ru-RU" w:bidi="ru-RU"/>
        </w:rPr>
      </w:r>
      <w:r>
        <w:rPr>
          <w:lang w:val="ru-RU" w:bidi="ru-RU"/>
        </w:rPr>
      </w:r>
    </w:p>
    <w:p w14:paraId="25D6E381">
      <w:pPr>
        <w:pStyle w:val="1010"/>
        <w:numPr>
          <w:ilvl w:val="0"/>
          <w:numId w:val="48"/>
        </w:numPr>
        <w:pBdr/>
        <w:spacing/>
        <w:ind/>
        <w:rPr/>
      </w:pPr>
      <w:r>
        <w:rPr>
          <w:highlight w:val="none"/>
          <w:lang w:val="ru-RU" w:bidi="ru-RU"/>
        </w:rPr>
        <w:t xml:space="preserve">Cluster 1 (Energy Giants): Includes China and the US. Maximum values on all axes. Huge consumption and production.</w:t>
      </w:r>
      <w:r/>
    </w:p>
    <w:p w14:paraId="6300739F">
      <w:pPr>
        <w:pStyle w:val="1010"/>
        <w:numPr>
          <w:ilvl w:val="0"/>
          <w:numId w:val="48"/>
        </w:numPr>
        <w:pBdr/>
        <w:spacing/>
        <w:ind/>
        <w:rPr/>
      </w:pPr>
      <w:r>
        <w:rPr>
          <w:highlight w:val="none"/>
          <w:lang w:val="ru-RU" w:bidi="ru-RU"/>
        </w:rPr>
        <w:t xml:space="preserve">Cluster 2 (Major Producers/Exporters): Countries such as Russia and Saudi Arabia. Characterized by a high shift towards production.</w:t>
      </w:r>
      <w:r/>
    </w:p>
    <w:p w14:paraId="0723F183">
      <w:pPr>
        <w:pStyle w:val="1010"/>
        <w:numPr>
          <w:ilvl w:val="0"/>
          <w:numId w:val="48"/>
        </w:numPr>
        <w:pBdr/>
        <w:spacing/>
        <w:ind/>
        <w:rPr/>
      </w:pPr>
      <w:r>
        <w:rPr>
          <w:highlight w:val="none"/>
          <w:lang w:val="ru-RU" w:bidi="ru-RU"/>
        </w:rPr>
        <w:t xml:space="preserve">Cluster 3 (Developed Consumers): Countries with high consumption levels but a smaller share of their own production (some European countries).</w:t>
      </w:r>
      <w:r/>
    </w:p>
    <w:p w14:paraId="4A346C5C">
      <w:pPr>
        <w:pStyle w:val="1010"/>
        <w:numPr>
          <w:ilvl w:val="0"/>
          <w:numId w:val="48"/>
        </w:numPr>
        <w:pBdr/>
        <w:spacing/>
        <w:ind/>
        <w:rPr>
          <w:lang w:val="ru-RU" w:bidi="ru-RU"/>
        </w:rPr>
      </w:pPr>
      <w:r>
        <w:rPr>
          <w:highlight w:val="none"/>
          <w:lang w:val="ru-RU" w:bidi="ru-RU"/>
        </w:rPr>
        <w:t xml:space="preserve">Clusters 4 and 5 (Developing and Small Economies): The most numerous groups. They have low absolute values and are clustered around the center of the coordinate system.</w:t>
      </w:r>
      <w:r>
        <w:rPr>
          <w:lang w:val="ru-RU" w:bidi="ru-RU"/>
        </w:rPr>
      </w:r>
      <w:r>
        <w:rPr>
          <w:lang w:val="ru-RU" w:bidi="ru-RU"/>
        </w:rPr>
      </w:r>
    </w:p>
    <w:p w14:paraId="267331D6">
      <w:pPr>
        <w:pStyle w:val="950"/>
        <w:pBdr/>
        <w:spacing/>
        <w:ind/>
        <w:rPr>
          <w:lang w:val="ru-RU" w:bidi="ru-RU"/>
        </w:rPr>
      </w:pPr>
      <w:r/>
      <w:r>
        <w:rPr>
          <w:highlight w:val="none"/>
          <w:lang w:val="ru-RU" w:bidi="ru-RU"/>
        </w:rPr>
        <w:t xml:space="preserve">3. Key findings of the multidimensional analysis</w:t>
      </w:r>
      <w:r>
        <w:rPr>
          <w:lang w:val="ru-RU" w:bidi="ru-RU"/>
        </w:rPr>
      </w:r>
      <w:r>
        <w:rPr>
          <w:lang w:val="ru-RU" w:bidi="ru-RU"/>
        </w:rPr>
      </w:r>
      <w:r>
        <w:rPr>
          <w:lang w:val="ru-RU" w:bidi="ru-RU"/>
        </w:rPr>
      </w:r>
    </w:p>
    <w:p w14:paraId="48E4BB49">
      <w:pPr>
        <w:pStyle w:val="1010"/>
        <w:numPr>
          <w:ilvl w:val="0"/>
          <w:numId w:val="49"/>
        </w:numPr>
        <w:pBdr/>
        <w:spacing/>
        <w:ind/>
        <w:rPr/>
      </w:pPr>
      <w:r>
        <w:rPr>
          <w:highlight w:val="none"/>
          <w:lang w:val="ru-RU" w:bidi="ru-RU"/>
        </w:rPr>
        <w:t xml:space="preserve">Scale dominance: The first factor (economy and population size) accounts for 80-90% of the differences between countries in the energy sector.</w:t>
      </w:r>
      <w:r/>
    </w:p>
    <w:p w14:paraId="58F0096C">
      <w:pPr>
        <w:pStyle w:val="1010"/>
        <w:numPr>
          <w:ilvl w:val="0"/>
          <w:numId w:val="49"/>
        </w:numPr>
        <w:pBdr/>
        <w:spacing/>
        <w:ind/>
        <w:rPr/>
      </w:pPr>
      <w:r>
        <w:rPr>
          <w:highlight w:val="none"/>
          <w:lang w:val="ru-RU" w:bidi="ru-RU"/>
        </w:rPr>
        <w:t xml:space="preserve">Clear segmentation: The energy world is extremely heterogeneous. Clustering confirms that decarbonization strategies must be different for the “giant cluster” and the “small economies cluster.”</w:t>
      </w:r>
      <w:r/>
    </w:p>
    <w:p w14:paraId="1683190D">
      <w:pPr>
        <w:pStyle w:val="1010"/>
        <w:numPr>
          <w:ilvl w:val="0"/>
          <w:numId w:val="49"/>
        </w:numPr>
        <w:pBdr/>
        <w:spacing/>
        <w:ind/>
        <w:rPr>
          <w:lang w:val="ru-RU" w:bidi="ru-RU"/>
        </w:rPr>
      </w:pPr>
      <w:r>
        <w:rPr>
          <w:highlight w:val="none"/>
          <w:lang w:val="ru-RU" w:bidi="ru-RU"/>
        </w:rPr>
        <w:t xml:space="preserve">Visual confirmation of emissions: The leaders previously identified in T-tests (the US, China, Russia) are clearly separated from the bulk of countries on PCA graphs, confirming their exceptional influence on global statistics.</w:t>
      </w:r>
      <w:r>
        <w:rPr>
          <w:lang w:val="ru-RU" w:bidi="ru-RU"/>
        </w:rPr>
      </w:r>
      <w:r>
        <w:rPr>
          <w:lang w:val="ru-RU" w:bidi="ru-RU"/>
        </w:rPr>
      </w:r>
    </w:p>
    <w:p w14:paraId="1416DCB4">
      <w:pPr>
        <w:pBdr/>
        <w:shd w:val="nil" w:color="000000"/>
        <w:spacing/>
        <w:ind/>
        <w:rPr>
          <w:lang w:val="ru-RU" w:bidi="ru-RU"/>
        </w:rPr>
      </w:pPr>
      <w:r>
        <w:rPr>
          <w:highlight w:val="none"/>
          <w:lang w:val="ru-RU" w:bidi="ru-RU"/>
        </w:rPr>
        <w:br w:type="page" w:clear="all"/>
      </w:r>
      <w:r>
        <w:rPr>
          <w:lang w:val="ru-RU" w:bidi="ru-RU"/>
        </w:rPr>
      </w:r>
      <w:r>
        <w:rPr>
          <w:lang w:val="ru-RU" w:bidi="ru-RU"/>
        </w:rPr>
      </w:r>
    </w:p>
    <w:p w14:paraId="18482A35">
      <w:pPr>
        <w:pStyle w:val="949"/>
        <w:pBdr/>
        <w:spacing/>
        <w:ind/>
        <w:rPr>
          <w:highlight w:val="none"/>
          <w:lang w:val="ru-RU" w:bidi="ru-RU"/>
        </w:rPr>
      </w:pPr>
      <w:r/>
      <w:bookmarkStart w:id="28" w:name="_Toc28"/>
      <w:r>
        <w:rPr>
          <w:highlight w:val="none"/>
          <w:lang w:val="ru-RU" w:bidi="ru-RU"/>
        </w:rPr>
        <w:t xml:space="preserve">Energy sustainability and depletion risk forecast</w:t>
      </w:r>
      <w:r>
        <w:rPr>
          <w:highlight w:val="none"/>
          <w:lang w:val="ru-RU" w:bidi="ru-RU"/>
        </w:rPr>
      </w:r>
      <w:bookmarkEnd w:id="28"/>
      <w:r/>
      <w:r>
        <w:rPr>
          <w:highlight w:val="none"/>
          <w:lang w:val="ru-RU" w:bidi="ru-RU"/>
        </w:rPr>
      </w:r>
    </w:p>
    <w:p w14:paraId="690492CA">
      <w:pPr>
        <w:pBdr/>
        <w:spacing/>
        <w:ind/>
        <w:rPr>
          <w:highlight w:val="none"/>
          <w:lang w:val="ru-RU" w:bidi="ru-RU"/>
        </w:rPr>
      </w:pPr>
      <w:r>
        <w:rPr>
          <w:highlight w:val="none"/>
          <w:lang w:val="ru-RU" w:bidi="ru-RU"/>
        </w:rPr>
      </w:r>
      <w:r>
        <w:rPr>
          <w:highlight w:val="none"/>
          <w:lang w:val="ru-RU" w:bidi="ru-RU"/>
        </w:rPr>
        <w:t xml:space="preserve">This section analyzes the dynamics of the global energy sector through the lens of CAGR (compound annual growth rate) for the period 1990–2022.</w:t>
      </w:r>
      <w:r>
        <w:rPr>
          <w:highlight w:val="none"/>
          <w:lang w:val="ru-RU" w:bidi="ru-RU"/>
        </w:rPr>
      </w:r>
      <w:r>
        <w:rPr>
          <w:highlight w:val="none"/>
          <w:lang w:val="ru-RU" w:bidi="ru-RU"/>
        </w:rPr>
      </w:r>
    </w:p>
    <w:p w14:paraId="4D2A0678">
      <w:pPr>
        <w:pBdr/>
        <w:spacing/>
        <w:ind/>
        <w:rPr>
          <w:highlight w:val="none"/>
          <w:lang w:val="en-US"/>
        </w:rPr>
      </w:pPr>
      <w:r>
        <w:rPr>
          <w:highlight w:val="none"/>
          <w:lang w:val="en-US"/>
        </w:rPr>
        <w:t xml:space="preserve">DRI=Consumption-Production</w:t>
      </w:r>
      <w:r>
        <w:rPr>
          <w:highlight w:val="none"/>
          <w:lang w:val="en-US"/>
        </w:rPr>
      </w:r>
      <w:r>
        <w:rPr>
          <w:highlight w:val="none"/>
          <w:lang w:val="en-US"/>
        </w:rPr>
      </w:r>
    </w:p>
    <w:p w14:paraId="7E3ECFB4">
      <w:pPr>
        <w:pStyle w:val="1010"/>
        <w:numPr>
          <w:ilvl w:val="0"/>
          <w:numId w:val="50"/>
        </w:numPr>
        <w:pBdr/>
        <w:spacing/>
        <w:ind/>
        <w:rPr/>
      </w:pPr>
      <w:r>
        <w:rPr>
          <w:highlight w:val="none"/>
          <w:lang w:val="ru-RU" w:bidi="ru-RU"/>
        </w:rPr>
        <w:t xml:space="preserve">DRI &gt; 0: Consumption is growing faster than production. The region is increasing its dependence on imports and rapidly depleting its domestic reserves.</w:t>
      </w:r>
      <w:r/>
    </w:p>
    <w:p w14:paraId="495A50F4">
      <w:pPr>
        <w:pStyle w:val="1010"/>
        <w:numPr>
          <w:ilvl w:val="0"/>
          <w:numId w:val="50"/>
        </w:numPr>
        <w:pBdr/>
        <w:spacing/>
        <w:ind/>
        <w:rPr>
          <w:lang w:val="ru-RU" w:bidi="ru-RU"/>
        </w:rPr>
      </w:pPr>
      <w:r>
        <w:rPr>
          <w:highlight w:val="none"/>
          <w:lang w:val="ru-RU" w:bidi="ru-RU"/>
        </w:rPr>
        <w:t xml:space="preserve">DRI &lt; 0: Production is outpacing consumption. The region is strengthening its position as a global exporter.</w:t>
      </w:r>
      <w:r>
        <w:rPr>
          <w:lang w:val="ru-RU" w:bidi="ru-RU"/>
        </w:rPr>
      </w:r>
      <w:r>
        <w:rPr>
          <w:lang w:val="ru-RU" w:bidi="ru-RU"/>
        </w:rPr>
      </w:r>
    </w:p>
    <w:p w14:paraId="0AB4FF7B">
      <w:pPr>
        <w:pStyle w:val="950"/>
        <w:pBdr/>
        <w:spacing/>
        <w:ind/>
        <w:rPr>
          <w:lang w:val="ru-RU" w:bidi="ru-RU"/>
        </w:rPr>
      </w:pPr>
      <w:r/>
      <w:r>
        <w:rPr>
          <w:highlight w:val="none"/>
          <w:lang w:val="ru-RU" w:bidi="ru-RU"/>
        </w:rPr>
        <w:t xml:space="preserve">1. Regional risk analysis</w:t>
      </w:r>
      <w:r>
        <w:rPr>
          <w:lang w:val="ru-RU" w:bidi="ru-RU"/>
        </w:rPr>
      </w:r>
      <w:r>
        <w:rPr>
          <w:lang w:val="ru-RU" w:bidi="ru-RU"/>
        </w:rPr>
      </w:r>
      <w:r>
        <w:rPr>
          <w:lang w:val="ru-RU" w:bidi="ru-RU"/>
        </w:rPr>
      </w:r>
    </w:p>
    <w:p w14:paraId="5C9CFC3E">
      <w:pPr>
        <w:pBdr/>
        <w:spacing/>
        <w:ind/>
        <w:jc w:val="both"/>
        <w:rPr>
          <w:highlight w:val="none"/>
          <w:lang w:val="ru-RU" w:bidi="ru-RU"/>
        </w:rPr>
      </w:pPr>
      <w:r>
        <w:rPr>
          <w:highlight w:val="none"/>
          <w:lang w:val="ru-RU" w:bidi="ru-RU"/>
        </w:rPr>
      </w:r>
      <w:r>
        <w:rPr>
          <w:highlight w:val="none"/>
          <w:lang w:val="ru-RU" w:bidi="ru-RU"/>
        </w:rPr>
        <w:t xml:space="preserve">Data</w:t>
      </w:r>
      <w:r>
        <w:rPr>
          <w:highlight w:val="none"/>
          <w:lang w:val="ru-RU" w:bidi="ru-RU"/>
        </w:rPr>
        <w:t xml:space="preserve"> analysis has revealed a critical imbalance in developing economies: rapid industrial growth in these countries is not supported by adequate expansion of their own raw material base.</w:t>
      </w:r>
      <w:r>
        <w:rPr>
          <w:highlight w:val="none"/>
          <w:lang w:val="ru-RU" w:bidi="ru-RU"/>
        </w:rPr>
      </w:r>
      <w:r>
        <w:rPr>
          <w:highlight w:val="none"/>
          <w:lang w:val="ru-RU" w:bidi="ru-RU"/>
        </w:rPr>
      </w:r>
    </w:p>
    <w:p w14:paraId="17832783">
      <w:pPr>
        <w:pBdr/>
        <w:spacing/>
        <w:ind/>
        <w:rPr>
          <w:highlight w:val="none"/>
          <w:lang w:val="ru-RU" w:bidi="ru-RU"/>
        </w:rPr>
      </w:pPr>
      <w:r>
        <w:rPr>
          <w:highlight w:val="none"/>
          <w:lang w:val="ru-RU" w:bidi="ru-RU"/>
        </w:rPr>
      </w:r>
      <w:r>
        <mc:AlternateContent>
          <mc:Choice Requires="wpg">
            <w:drawing>
              <wp:inline xmlns:wp="http://schemas.openxmlformats.org/drawingml/2006/wordprocessingDrawing" distT="0" distB="0" distL="0" distR="0">
                <wp:extent cx="5943600" cy="2971800"/>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510781" name=""/>
                        <pic:cNvPicPr>
                          <a:picLocks noChangeAspect="1"/>
                        </pic:cNvPicPr>
                        <pic:nvPr/>
                      </pic:nvPicPr>
                      <pic:blipFill rotWithShape="1">
                        <a:blip r:embed="rId32"/>
                        <a:stretch/>
                      </pic:blipFill>
                      <pic:spPr bwMode="auto">
                        <a:xfrm>
                          <a:off x="0" y="0"/>
                          <a:ext cx="5943598" cy="29717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68.00pt;height:234.00pt;mso-wrap-distance-left:0.00pt;mso-wrap-distance-top:0.00pt;mso-wrap-distance-right:0.00pt;mso-wrap-distance-bottom:0.00pt;z-index:1;" stroked="false">
                <v:imagedata r:id="rId32" o:title=""/>
                <o:lock v:ext="edit" rotation="t"/>
              </v:shape>
            </w:pict>
          </mc:Fallback>
        </mc:AlternateContent>
      </w:r>
      <w:r>
        <w:rPr>
          <w:highlight w:val="none"/>
          <w:lang w:val="ru-RU" w:bidi="ru-RU"/>
        </w:rPr>
      </w:r>
      <w:r>
        <w:rPr>
          <w:highlight w:val="none"/>
          <w:lang w:val="ru-RU" w:bidi="ru-RU"/>
        </w:rPr>
      </w:r>
    </w:p>
    <w:p w14:paraId="47083032">
      <w:pPr>
        <w:pStyle w:val="985"/>
        <w:pBdr/>
        <w:spacing/>
        <w:ind/>
        <w:rPr/>
      </w:pPr>
      <w:r>
        <w:t xml:space="preserve">Picture </w:t>
      </w:r>
      <w:r>
        <w:fldChar w:fldCharType="begin"/>
        <w:instrText xml:space="preserve"> SEQ Picture \* Arabic </w:instrText>
        <w:fldChar w:fldCharType="separate"/>
      </w:r>
      <w:r>
        <w:t xml:space="preserve">22</w:t>
      </w:r>
      <w:r>
        <w:fldChar w:fldCharType="end"/>
      </w:r>
      <w:r>
        <w:rPr>
          <w:lang w:val="en-US"/>
        </w:rPr>
        <w:t xml:space="preserve"> – Regional risks.</w:t>
      </w:r>
      <w:r/>
    </w:p>
    <w:p w14:paraId="6A75D072">
      <w:pPr>
        <w:pStyle w:val="951"/>
        <w:pBdr/>
        <w:spacing/>
        <w:ind/>
        <w:rPr>
          <w:lang w:val="ru-RU" w:bidi="ru-RU"/>
        </w:rPr>
      </w:pPr>
      <w:r/>
      <w:r>
        <w:rPr>
          <w:highlight w:val="none"/>
          <w:lang w:val="ru-RU" w:bidi="ru-RU"/>
        </w:rPr>
        <w:t xml:space="preserve">Key risk areas (Top 10 by DRI):</w:t>
      </w:r>
      <w:r>
        <w:rPr>
          <w:lang w:val="ru-RU" w:bidi="ru-RU"/>
        </w:rPr>
      </w:r>
      <w:r>
        <w:rPr>
          <w:lang w:val="ru-RU" w:bidi="ru-RU"/>
        </w:rPr>
      </w:r>
      <w:r>
        <w:rPr>
          <w:lang w:val="ru-RU" w:bidi="ru-RU"/>
        </w:rPr>
      </w:r>
    </w:p>
    <w:p w14:paraId="3F03D871">
      <w:pPr>
        <w:pStyle w:val="1010"/>
        <w:numPr>
          <w:ilvl w:val="0"/>
          <w:numId w:val="51"/>
        </w:numPr>
        <w:pBdr/>
        <w:spacing/>
        <w:ind/>
        <w:rPr/>
      </w:pPr>
      <w:r>
        <w:rPr>
          <w:highlight w:val="none"/>
          <w:lang w:val="ru-RU" w:bidi="ru-RU"/>
        </w:rPr>
        <w:t xml:space="preserve">Middle East and North Africa (Coal): Highest risk (0.044). With coal consumption growing at 3.5% per year, domestic production is falling by 0.9%. This signals a radical change in the energy paradigm in the region.</w:t>
      </w:r>
      <w:r/>
    </w:p>
    <w:p w14:paraId="3305E365">
      <w:pPr>
        <w:pStyle w:val="1010"/>
        <w:numPr>
          <w:ilvl w:val="0"/>
          <w:numId w:val="51"/>
        </w:numPr>
        <w:pBdr/>
        <w:spacing/>
        <w:ind/>
        <w:rPr/>
      </w:pPr>
      <w:r>
        <w:rPr>
          <w:highlight w:val="none"/>
          <w:lang w:val="ru-RU" w:bidi="ru-RU"/>
        </w:rPr>
        <w:t xml:space="preserve">South Asia (Oil &amp; Gas): Critical zone. Oil consumption is growing by 4.2% annually, while production is stagnating or falling (-0.07%). This puts enormous pressure on government budgets due to import costs.</w:t>
      </w:r>
      <w:r/>
    </w:p>
    <w:p w14:paraId="6EF585C5">
      <w:pPr>
        <w:pStyle w:val="1010"/>
        <w:numPr>
          <w:ilvl w:val="0"/>
          <w:numId w:val="51"/>
        </w:numPr>
        <w:pBdr/>
        <w:spacing/>
        <w:ind/>
        <w:rPr>
          <w:lang w:val="ru-RU" w:bidi="ru-RU"/>
        </w:rPr>
      </w:pPr>
      <w:r>
        <w:rPr>
          <w:highlight w:val="none"/>
          <w:lang w:val="ru-RU" w:bidi="ru-RU"/>
        </w:rPr>
        <w:t xml:space="preserve">East Asia and the Pacific: Despite its status as a major producer, the growth rate of gas (5.9%) and oil (2.7%) consumption consistently outpaces the rate of development of new fields.</w:t>
      </w:r>
      <w:r>
        <w:rPr>
          <w:lang w:val="ru-RU" w:bidi="ru-RU"/>
        </w:rPr>
      </w:r>
      <w:r>
        <w:rPr>
          <w:lang w:val="ru-RU" w:bidi="ru-RU"/>
        </w:rPr>
      </w:r>
    </w:p>
    <w:p w14:paraId="201B0EFB">
      <w:pPr>
        <w:pStyle w:val="950"/>
        <w:pBdr/>
        <w:spacing/>
        <w:ind/>
        <w:rPr>
          <w:lang w:val="ru-RU" w:bidi="ru-RU"/>
        </w:rPr>
      </w:pPr>
      <w:r>
        <w:rPr>
          <w:highlight w:val="none"/>
          <w:lang w:val="ru-RU" w:bidi="ru-RU"/>
        </w:rPr>
      </w:r>
      <w:r>
        <w:rPr>
          <w:lang w:val="ru-RU" w:bidi="ru-RU"/>
        </w:rPr>
      </w:r>
      <w:r>
        <w:rPr>
          <w:lang w:val="ru-RU" w:bidi="ru-RU"/>
        </w:rPr>
      </w:r>
    </w:p>
    <w:p w14:paraId="1A87ABA8">
      <w:pPr>
        <w:pStyle w:val="950"/>
        <w:pBdr/>
        <w:spacing/>
        <w:ind/>
        <w:rPr>
          <w:highlight w:val="none"/>
          <w:lang w:val="ru-RU" w:bidi="ru-RU"/>
        </w:rPr>
      </w:pPr>
      <w:r/>
      <w:r>
        <w:rPr>
          <w:highlight w:val="none"/>
          <w:lang w:val="ru-RU" w:bidi="ru-RU"/>
        </w:rPr>
        <w:t xml:space="preserve">2. Analysis by resource type</w:t>
      </w:r>
      <w:r>
        <w:rPr>
          <w:highlight w:val="none"/>
          <w:lang w:val="ru-RU" w:bidi="ru-RU"/>
        </w:rPr>
      </w:r>
      <w:r>
        <w:rPr>
          <w:highlight w:val="none"/>
          <w:lang w:val="ru-RU" w:bidi="ru-RU"/>
        </w:rPr>
      </w:r>
      <w:r>
        <w:rPr>
          <w:highlight w:val="none"/>
          <w:lang w:val="ru-RU" w:bidi="ru-RU"/>
        </w:rPr>
      </w:r>
    </w:p>
    <w:p w14:paraId="4E7B4AE9">
      <w:pPr>
        <w:pStyle w:val="951"/>
        <w:pBdr/>
        <w:spacing/>
        <w:ind/>
        <w:rPr/>
      </w:pPr>
      <w:r/>
      <w:r>
        <w:rPr>
          <w:highlight w:val="none"/>
          <w:lang w:val="ru-RU" w:bidi="ru-RU"/>
        </w:rPr>
        <w:t xml:space="preserve">Oil — “Scarce resource”</w:t>
      </w:r>
      <w:r/>
      <w:r/>
    </w:p>
    <w:p w14:paraId="7916145B">
      <w:pPr>
        <w:pBdr/>
        <w:spacing/>
        <w:ind/>
        <w:rPr/>
      </w:pPr>
      <w:r>
        <w:rPr>
          <w:highlight w:val="none"/>
          <w:lang w:val="ru-RU" w:bidi="ru-RU"/>
        </w:rPr>
        <w:t xml:space="preserve">Oil shows a positive risk index in almost all developing regions. We are seeing a global trend: old fields are reaching a plateau, while demand in Asia and Latin America continues to grow exponentially.</w:t>
      </w:r>
      <w:r/>
    </w:p>
    <w:p w14:paraId="628424AB">
      <w:pPr>
        <w:pStyle w:val="951"/>
        <w:pBdr/>
        <w:spacing/>
        <w:ind/>
        <w:rPr/>
      </w:pPr>
      <w:r/>
      <w:r>
        <w:rPr>
          <w:highlight w:val="none"/>
          <w:lang w:val="ru-RU" w:bidi="ru-RU"/>
        </w:rPr>
        <w:t xml:space="preserve">Natural gas — “Transitional fuel”</w:t>
      </w:r>
      <w:r/>
      <w:r/>
    </w:p>
    <w:p w14:paraId="11F1CF14">
      <w:pPr>
        <w:pBdr/>
        <w:spacing/>
        <w:ind/>
        <w:rPr/>
      </w:pPr>
      <w:r>
        <w:rPr>
          <w:highlight w:val="none"/>
          <w:lang w:val="ru-RU" w:bidi="ru-RU"/>
        </w:rPr>
        <w:t xml:space="preserve">South and East Asia are experiencing extreme growth rates in consumption (up to 6% per year). Domestic production is not keeping pace with this rally, making these regions the main drivers of the global LNG market.</w:t>
      </w:r>
      <w:r/>
    </w:p>
    <w:p w14:paraId="60DB3827">
      <w:pPr>
        <w:pStyle w:val="951"/>
        <w:pBdr/>
        <w:spacing/>
        <w:ind/>
        <w:rPr/>
      </w:pPr>
      <w:r/>
      <w:r>
        <w:rPr>
          <w:highlight w:val="none"/>
          <w:lang w:val="ru-RU" w:bidi="ru-RU"/>
        </w:rPr>
        <w:t xml:space="preserve">Coal — “Regional Polarization”</w:t>
      </w:r>
      <w:r/>
      <w:r/>
    </w:p>
    <w:p w14:paraId="7C8FDF1B">
      <w:pPr>
        <w:pBdr/>
        <w:spacing/>
        <w:ind/>
        <w:rPr>
          <w:highlight w:val="none"/>
          <w:lang w:val="ru-RU" w:bidi="ru-RU"/>
        </w:rPr>
      </w:pPr>
      <w:r>
        <w:rPr>
          <w:highlight w:val="none"/>
          <w:lang w:val="ru-RU" w:bidi="ru-RU"/>
        </w:rPr>
        <w:t xml:space="preserve">In India (South Asia), the risk index remains positive (0.007). Even with record domestic production volumes, the country is forced to increase imports to ensure the energy security of its power plants.</w:t>
      </w:r>
      <w:r>
        <w:rPr>
          <w:highlight w:val="none"/>
          <w:lang w:val="ru-RU" w:bidi="ru-RU"/>
        </w:rPr>
      </w:r>
      <w:r>
        <w:rPr>
          <w:highlight w:val="none"/>
          <w:lang w:val="ru-RU" w:bidi="ru-RU"/>
        </w:rPr>
      </w:r>
    </w:p>
    <w:p w14:paraId="14ECE211">
      <w:pPr>
        <w:pStyle w:val="950"/>
        <w:pBdr/>
        <w:spacing/>
        <w:ind/>
        <w:rPr>
          <w:lang w:val="ru-RU" w:bidi="ru-RU"/>
        </w:rPr>
      </w:pPr>
      <w:r/>
      <w:r>
        <w:rPr>
          <w:highlight w:val="none"/>
          <w:lang w:val="ru-RU" w:bidi="ru-RU"/>
        </w:rPr>
        <w:t xml:space="preserve">3. Conclusions on energy security</w:t>
      </w:r>
      <w:r>
        <w:rPr>
          <w:lang w:val="ru-RU" w:bidi="ru-RU"/>
        </w:rPr>
      </w:r>
      <w:r>
        <w:rPr>
          <w:lang w:val="ru-RU" w:bidi="ru-RU"/>
        </w:rPr>
      </w:r>
      <w:r>
        <w:rPr>
          <w:lang w:val="ru-RU" w:bidi="ru-RU"/>
        </w:rPr>
      </w:r>
    </w:p>
    <w:p w14:paraId="585E4960">
      <w:pPr>
        <w:pStyle w:val="1010"/>
        <w:numPr>
          <w:ilvl w:val="0"/>
          <w:numId w:val="52"/>
        </w:numPr>
        <w:pBdr/>
        <w:spacing/>
        <w:ind/>
        <w:rPr/>
      </w:pPr>
      <w:r>
        <w:rPr>
          <w:highlight w:val="none"/>
          <w:lang w:val="ru-RU" w:bidi="ru-RU"/>
        </w:rPr>
        <w:t xml:space="preserve">South Asia — “red zone”: The region ranks in the top 10 in terms of risk (for all types of fuel) three times. This makes it the most vulnerable to global price shocks.</w:t>
      </w:r>
      <w:r/>
    </w:p>
    <w:p w14:paraId="3D8E08E2">
      <w:pPr>
        <w:pStyle w:val="1010"/>
        <w:numPr>
          <w:ilvl w:val="0"/>
          <w:numId w:val="52"/>
        </w:numPr>
        <w:pBdr/>
        <w:spacing/>
        <w:ind/>
        <w:rPr/>
      </w:pPr>
      <w:r>
        <w:rPr>
          <w:highlight w:val="none"/>
          <w:lang w:val="ru-RU" w:bidi="ru-RU"/>
        </w:rPr>
        <w:t xml:space="preserve">Logistical fragility: The widespread growth of DRI for oil means that the global economy is becoming critically dependent on the stability of sea lanes and the tanker fleet.</w:t>
      </w:r>
      <w:r/>
    </w:p>
    <w:p w14:paraId="3712EEA5">
      <w:pPr>
        <w:pStyle w:val="1010"/>
        <w:numPr>
          <w:ilvl w:val="0"/>
          <w:numId w:val="52"/>
        </w:numPr>
        <w:pBdr/>
        <w:spacing/>
        <w:ind/>
        <w:rPr>
          <w:lang w:val="ru-RU" w:bidi="ru-RU"/>
        </w:rPr>
      </w:pPr>
      <w:r>
        <w:rPr>
          <w:highlight w:val="none"/>
          <w:lang w:val="ru-RU" w:bidi="ru-RU"/>
        </w:rPr>
        <w:t xml:space="preserve">Economic incentive for renewable energy: High depletion rates in Asia are not only an environmental argument, but also a powerful economic argument for a rapid transition to renewable energy in order to reduce dependence on raw materials.</w:t>
      </w:r>
      <w:r>
        <w:rPr>
          <w:lang w:val="ru-RU" w:bidi="ru-RU"/>
        </w:rPr>
      </w:r>
      <w:r>
        <w:rPr>
          <w:lang w:val="ru-RU" w:bidi="ru-RU"/>
        </w:rPr>
      </w:r>
    </w:p>
    <w:p w14:paraId="61AC2FD6">
      <w:pPr>
        <w:pStyle w:val="950"/>
        <w:pBdr/>
        <w:spacing/>
        <w:ind/>
        <w:rPr>
          <w:lang w:val="ru-RU" w:bidi="ru-RU"/>
        </w:rPr>
      </w:pPr>
      <w:r/>
      <w:r>
        <w:rPr>
          <w:highlight w:val="none"/>
          <w:lang w:val="ru-RU" w:bidi="ru-RU"/>
        </w:rPr>
        <w:t xml:space="preserve">Final conclusion on global resource depletion</w:t>
      </w:r>
      <w:r>
        <w:rPr>
          <w:lang w:val="ru-RU" w:bidi="ru-RU"/>
        </w:rPr>
      </w:r>
      <w:r>
        <w:rPr>
          <w:lang w:val="ru-RU" w:bidi="ru-RU"/>
        </w:rPr>
      </w:r>
      <w:r>
        <w:rPr>
          <w:lang w:val="ru-RU" w:bidi="ru-RU"/>
        </w:rPr>
      </w:r>
    </w:p>
    <w:p w14:paraId="3399F3CA">
      <w:pPr>
        <w:pBdr/>
        <w:spacing/>
        <w:ind/>
        <w:rPr/>
      </w:pPr>
      <w:r>
        <w:rPr>
          <w:highlight w:val="none"/>
          <w:lang w:val="ru-RU" w:bidi="ru-RU"/>
        </w:rPr>
        <w:t xml:space="preserve">Based on the multidimensional analysis conducted, a fundamental conclusion can be drawn: the global energy system is in a phase of “transitional fragility.”</w:t>
      </w:r>
      <w:r/>
    </w:p>
    <w:p w14:paraId="2BAC9CF3">
      <w:pPr>
        <w:pBdr/>
        <w:spacing/>
        <w:ind/>
        <w:rPr>
          <w:lang w:val="ru-RU" w:bidi="ru-RU"/>
        </w:rPr>
      </w:pPr>
      <w:r>
        <w:rPr>
          <w:highlight w:val="none"/>
          <w:lang w:val="ru-RU" w:bidi="ru-RU"/>
        </w:rPr>
        <w:t xml:space="preserve">T</w:t>
      </w:r>
      <w:r>
        <w:rPr>
          <w:highlight w:val="none"/>
          <w:lang w:val="ru-RU" w:bidi="ru-RU"/>
        </w:rPr>
        <w:t xml:space="preserve">he main risk lies not in the physical disappearance of fossil fuels, but in the mathematical impossibility of maintaining current consumption growth rates through traditional extraction in the long term (until 2050). Regions with an accumulated deficit (DR</w:t>
      </w:r>
      <w:r>
        <w:rPr>
          <w:highlight w:val="none"/>
          <w:lang w:val="ru-RU" w:bidi="ru-RU"/>
        </w:rPr>
        <w:t xml:space="preserve">I &gt; 0.02) will be the first to face the need for a complete structural restructuring of their economies. The only path to long-term sustainability is a radical increase in energy efficiency and the replacement of scarce hydrocarbons with local generation.</w:t>
      </w:r>
      <w:r>
        <w:rPr>
          <w:lang w:val="ru-RU" w:bidi="ru-RU"/>
        </w:rPr>
      </w:r>
      <w:r>
        <w:rPr>
          <w:lang w:val="ru-RU" w:bidi="ru-RU"/>
        </w:rPr>
      </w:r>
    </w:p>
    <w:p w14:paraId="60BDD261">
      <w:pPr>
        <w:pBdr/>
        <w:spacing/>
        <w:ind/>
        <w:rPr/>
      </w:pPr>
      <w:r/>
      <w:r/>
    </w:p>
    <w:sectPr>
      <w:footerReference w:type="default" r:id="rId10"/>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9D20CBC">
    <w:pPr>
      <w:pStyle w:val="983"/>
      <w:pBdr/>
      <w:spacing/>
      <w:ind/>
      <w:jc w:val="center"/>
      <w:rPr/>
    </w:pPr>
    <w:fldSimple w:instr="PAGE \* MERGEFORMAT">
      <w:r>
        <w:t xml:space="preserve">1</w:t>
      </w:r>
    </w:fldSimple>
    <w:r/>
    <w:r/>
  </w:p>
  <w:p w14:paraId="24CCACA9">
    <w:pPr>
      <w:pStyle w:val="983"/>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C87439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2140B26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0120C01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4C3BCE2A"/>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4">
    <w:nsid w:val="2E080E1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07DE0194"/>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6">
    <w:nsid w:val="6A61273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2DEB5D79"/>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8">
    <w:nsid w:val="5A11F30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06380F2D"/>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0">
    <w:nsid w:val="0F32DA9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51E8A744"/>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2">
    <w:nsid w:val="2A5D7B4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37E5295E"/>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4">
    <w:nsid w:val="7AD52AC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1175683F"/>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6">
    <w:nsid w:val="72F66D3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nsid w:val="4ECA14F5"/>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8">
    <w:nsid w:val="01DEECA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26BB5576"/>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20">
    <w:nsid w:val="0E46492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nsid w:val="18FAA099"/>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22">
    <w:nsid w:val="17A2CEA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
    <w:nsid w:val="77F20475"/>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24">
    <w:nsid w:val="7230C95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
    <w:nsid w:val="7F332B34"/>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26">
    <w:nsid w:val="250F430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7">
    <w:nsid w:val="3849B03F"/>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28">
    <w:nsid w:val="5AB33F0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
    <w:nsid w:val="4531B8B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0">
    <w:nsid w:val="50FE882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1">
    <w:nsid w:val="4F52EDC0"/>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2">
    <w:nsid w:val="77E06DF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3">
    <w:nsid w:val="172AE56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4">
    <w:nsid w:val="7481063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5">
    <w:nsid w:val="460DD68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6">
    <w:nsid w:val="47A0C8F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7">
    <w:nsid w:val="62DCA3B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8">
    <w:nsid w:val="0FC34AA0"/>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9">
    <w:nsid w:val="6E821B8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0">
    <w:nsid w:val="6AF8D31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1">
    <w:nsid w:val="143B5CFB"/>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2">
    <w:nsid w:val="2F40337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3">
    <w:nsid w:val="4AA3ED3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4">
    <w:nsid w:val="7C207100"/>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5">
    <w:nsid w:val="576D0B5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6">
    <w:nsid w:val="1C61812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7">
    <w:nsid w:val="726226F0"/>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8">
    <w:nsid w:val="3FD19B8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9">
    <w:nsid w:val="7DE2A02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0">
    <w:nsid w:val="16B0616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1">
    <w:nsid w:val="2858CFA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21">
    <w:name w:val="Table Grid"/>
    <w:basedOn w:val="100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Table Grid Light"/>
    <w:basedOn w:val="100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Plain Table 1"/>
    <w:basedOn w:val="100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Plain Table 2"/>
    <w:basedOn w:val="100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Plain Table 3"/>
    <w:basedOn w:val="10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Plain Table 4"/>
    <w:basedOn w:val="10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Plain Table 5"/>
    <w:basedOn w:val="10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1 Light"/>
    <w:basedOn w:val="100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1 Light - Accent 1"/>
    <w:basedOn w:val="100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1 Light - Accent 2"/>
    <w:basedOn w:val="100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1 Light - Accent 3"/>
    <w:basedOn w:val="100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1 Light - Accent 4"/>
    <w:basedOn w:val="100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1 Light - Accent 5"/>
    <w:basedOn w:val="100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1 Light - Accent 6"/>
    <w:basedOn w:val="100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2"/>
    <w:basedOn w:val="100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2 - Accent 1"/>
    <w:basedOn w:val="100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2 - Accent 2"/>
    <w:basedOn w:val="100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2 - Accent 3"/>
    <w:basedOn w:val="100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2 - Accent 4"/>
    <w:basedOn w:val="100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2 - Accent 5"/>
    <w:basedOn w:val="100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2 - Accent 6"/>
    <w:basedOn w:val="100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3"/>
    <w:basedOn w:val="100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3 - Accent 1"/>
    <w:basedOn w:val="100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3 - Accent 2"/>
    <w:basedOn w:val="100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3 - Accent 3"/>
    <w:basedOn w:val="100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3 - Accent 4"/>
    <w:basedOn w:val="100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3 - Accent 5"/>
    <w:basedOn w:val="100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3 - Accent 6"/>
    <w:basedOn w:val="100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4"/>
    <w:basedOn w:val="100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4 - Accent 1"/>
    <w:basedOn w:val="100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4 - Accent 2"/>
    <w:basedOn w:val="100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4 - Accent 3"/>
    <w:basedOn w:val="100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4 - Accent 4"/>
    <w:basedOn w:val="100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4 - Accent 5"/>
    <w:basedOn w:val="100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4 - Accent 6"/>
    <w:basedOn w:val="100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5 Dark"/>
    <w:basedOn w:val="10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5 Dark- Accent 1"/>
    <w:basedOn w:val="10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5 Dark - Accent 2"/>
    <w:basedOn w:val="10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5 Dark - Accent 3"/>
    <w:basedOn w:val="10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5 Dark- Accent 4"/>
    <w:basedOn w:val="10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5 Dark - Accent 5"/>
    <w:basedOn w:val="10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5 Dark - Accent 6"/>
    <w:basedOn w:val="10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6 Colorful"/>
    <w:basedOn w:val="100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64">
    <w:name w:val="Grid Table 6 Colorful - Accent 1"/>
    <w:basedOn w:val="100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65">
    <w:name w:val="Grid Table 6 Colorful - Accent 2"/>
    <w:basedOn w:val="100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66">
    <w:name w:val="Grid Table 6 Colorful - Accent 3"/>
    <w:basedOn w:val="100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67">
    <w:name w:val="Grid Table 6 Colorful - Accent 4"/>
    <w:basedOn w:val="100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68">
    <w:name w:val="Grid Table 6 Colorful - Accent 5"/>
    <w:basedOn w:val="100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69">
    <w:name w:val="Grid Table 6 Colorful - Accent 6"/>
    <w:basedOn w:val="100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70">
    <w:name w:val="Grid Table 7 Colorful"/>
    <w:basedOn w:val="100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7 Colorful - Accent 1"/>
    <w:basedOn w:val="100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7 Colorful - Accent 2"/>
    <w:basedOn w:val="100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7 Colorful - Accent 3"/>
    <w:basedOn w:val="100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Grid Table 7 Colorful - Accent 4"/>
    <w:basedOn w:val="100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7 Colorful - Accent 5"/>
    <w:basedOn w:val="100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Grid Table 7 Colorful - Accent 6"/>
    <w:basedOn w:val="100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1 Light"/>
    <w:basedOn w:val="10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1 Light - Accent 1"/>
    <w:basedOn w:val="10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1 Light - Accent 2"/>
    <w:basedOn w:val="10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1 Light - Accent 3"/>
    <w:basedOn w:val="10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1 Light - Accent 4"/>
    <w:basedOn w:val="10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1 Light - Accent 5"/>
    <w:basedOn w:val="10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1 Light - Accent 6"/>
    <w:basedOn w:val="10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2"/>
    <w:basedOn w:val="100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2 - Accent 1"/>
    <w:basedOn w:val="100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2 - Accent 2"/>
    <w:basedOn w:val="100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2 - Accent 3"/>
    <w:basedOn w:val="100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2 - Accent 4"/>
    <w:basedOn w:val="100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2 - Accent 5"/>
    <w:basedOn w:val="100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2 - Accent 6"/>
    <w:basedOn w:val="100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3"/>
    <w:basedOn w:val="100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3 - Accent 1"/>
    <w:basedOn w:val="100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3 - Accent 2"/>
    <w:basedOn w:val="100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3 - Accent 3"/>
    <w:basedOn w:val="100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3 - Accent 4"/>
    <w:basedOn w:val="100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3 - Accent 5"/>
    <w:basedOn w:val="100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3 - Accent 6"/>
    <w:basedOn w:val="100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st Table 4"/>
    <w:basedOn w:val="100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4 - Accent 1"/>
    <w:basedOn w:val="100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4 - Accent 2"/>
    <w:basedOn w:val="100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4 - Accent 3"/>
    <w:basedOn w:val="100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st Table 4 - Accent 4"/>
    <w:basedOn w:val="100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4 - Accent 5"/>
    <w:basedOn w:val="100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4 - Accent 6"/>
    <w:basedOn w:val="100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5 Dark"/>
    <w:basedOn w:val="100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6">
    <w:name w:val="List Table 5 Dark - Accent 1"/>
    <w:basedOn w:val="100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7">
    <w:name w:val="List Table 5 Dark - Accent 2"/>
    <w:basedOn w:val="100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8">
    <w:name w:val="List Table 5 Dark - Accent 3"/>
    <w:basedOn w:val="100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9">
    <w:name w:val="List Table 5 Dark - Accent 4"/>
    <w:basedOn w:val="100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0">
    <w:name w:val="List Table 5 Dark - Accent 5"/>
    <w:basedOn w:val="100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1">
    <w:name w:val="List Table 5 Dark - Accent 6"/>
    <w:basedOn w:val="100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2">
    <w:name w:val="List Table 6 Colorful"/>
    <w:basedOn w:val="100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st Table 6 Colorful - Accent 1"/>
    <w:basedOn w:val="100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st Table 6 Colorful - Accent 2"/>
    <w:basedOn w:val="100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st Table 6 Colorful - Accent 3"/>
    <w:basedOn w:val="100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st Table 6 Colorful - Accent 4"/>
    <w:basedOn w:val="100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st Table 6 Colorful - Accent 5"/>
    <w:basedOn w:val="100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st Table 6 Colorful - Accent 6"/>
    <w:basedOn w:val="100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st Table 7 Colorful"/>
    <w:basedOn w:val="100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20">
    <w:name w:val="List Table 7 Colorful - Accent 1"/>
    <w:basedOn w:val="100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921">
    <w:name w:val="List Table 7 Colorful - Accent 2"/>
    <w:basedOn w:val="100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922">
    <w:name w:val="List Table 7 Colorful - Accent 3"/>
    <w:basedOn w:val="100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923">
    <w:name w:val="List Table 7 Colorful - Accent 4"/>
    <w:basedOn w:val="100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924">
    <w:name w:val="List Table 7 Colorful - Accent 5"/>
    <w:basedOn w:val="100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925">
    <w:name w:val="List Table 7 Colorful - Accent 6"/>
    <w:basedOn w:val="100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926">
    <w:name w:val="Lined - Accent"/>
    <w:basedOn w:val="10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ned - Accent 1"/>
    <w:basedOn w:val="10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ned - Accent 2"/>
    <w:basedOn w:val="10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ned - Accent 3"/>
    <w:basedOn w:val="10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Lined - Accent 4"/>
    <w:basedOn w:val="10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ned - Accent 5"/>
    <w:basedOn w:val="10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Lined - Accent 6"/>
    <w:basedOn w:val="10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Bordered &amp; Lined - Accent"/>
    <w:basedOn w:val="100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Bordered &amp; Lined - Accent 1"/>
    <w:basedOn w:val="100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Bordered &amp; Lined - Accent 2"/>
    <w:basedOn w:val="100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Bordered &amp; Lined - Accent 3"/>
    <w:basedOn w:val="100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Bordered &amp; Lined - Accent 4"/>
    <w:basedOn w:val="100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Bordered &amp; Lined - Accent 5"/>
    <w:basedOn w:val="100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Bordered &amp; Lined - Accent 6"/>
    <w:basedOn w:val="100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Bordered"/>
    <w:basedOn w:val="100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Bordered - Accent 1"/>
    <w:basedOn w:val="100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Bordered - Accent 2"/>
    <w:basedOn w:val="100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Bordered - Accent 3"/>
    <w:basedOn w:val="100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Bordered - Accent 4"/>
    <w:basedOn w:val="100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Bordered - Accent 5"/>
    <w:basedOn w:val="100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Bordered - Accent 6"/>
    <w:basedOn w:val="100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47">
    <w:name w:val="Heading 1"/>
    <w:basedOn w:val="1006"/>
    <w:next w:val="1006"/>
    <w:link w:val="957"/>
    <w:uiPriority w:val="9"/>
    <w:qFormat/>
    <w:pPr>
      <w:pBdr/>
      <w:spacing w:after="240" w:before="240"/>
      <w:ind/>
      <w:jc w:val="center"/>
    </w:pPr>
    <w:rPr>
      <w:rFonts w:ascii="Times New Roman" w:hAnsi="Times New Roman" w:cs="Times New Roman"/>
      <w:b/>
      <w:bCs/>
      <w:sz w:val="32"/>
      <w:szCs w:val="32"/>
    </w:rPr>
  </w:style>
  <w:style w:type="paragraph" w:styleId="948">
    <w:name w:val="Heading 2"/>
    <w:basedOn w:val="1006"/>
    <w:next w:val="1006"/>
    <w:link w:val="958"/>
    <w:uiPriority w:val="9"/>
    <w:unhideWhenUsed/>
    <w:qFormat/>
    <w:pPr>
      <w:keepNext w:val="true"/>
      <w:keepLines w:val="true"/>
      <w:pBdr/>
      <w:spacing w:after="80" w:before="160"/>
      <w:ind/>
      <w:outlineLvl w:val="1"/>
    </w:pPr>
    <w:rPr>
      <w:rFonts w:ascii="Times New Roman" w:hAnsi="Times New Roman" w:eastAsia="Times New Roman" w:cs="Times New Roman"/>
      <w:b/>
      <w:bCs/>
      <w:color w:val="0f4761" w:themeColor="text1"/>
      <w:sz w:val="32"/>
      <w:szCs w:val="32"/>
    </w:rPr>
  </w:style>
  <w:style w:type="paragraph" w:styleId="949">
    <w:name w:val="Heading 3"/>
    <w:basedOn w:val="1006"/>
    <w:next w:val="1006"/>
    <w:link w:val="959"/>
    <w:uiPriority w:val="9"/>
    <w:unhideWhenUsed/>
    <w:qFormat/>
    <w:pPr>
      <w:keepNext w:val="true"/>
      <w:keepLines w:val="true"/>
      <w:pBdr/>
      <w:spacing w:after="80" w:before="160"/>
      <w:ind/>
      <w:outlineLvl w:val="2"/>
    </w:pPr>
    <w:rPr>
      <w:rFonts w:ascii="Times New Roman" w:hAnsi="Times New Roman" w:eastAsia="Times New Roman" w:cs="Times New Roman"/>
      <w:b/>
      <w:bCs/>
      <w:color w:val="0f4761" w:themeColor="text1"/>
      <w:sz w:val="36"/>
      <w:szCs w:val="36"/>
    </w:rPr>
  </w:style>
  <w:style w:type="paragraph" w:styleId="950">
    <w:name w:val="Heading 4"/>
    <w:basedOn w:val="1006"/>
    <w:next w:val="1006"/>
    <w:link w:val="960"/>
    <w:uiPriority w:val="9"/>
    <w:unhideWhenUsed/>
    <w:qFormat/>
    <w:pPr>
      <w:keepNext w:val="true"/>
      <w:keepLines w:val="true"/>
      <w:pBdr/>
      <w:spacing w:after="40" w:before="80"/>
      <w:ind/>
      <w:outlineLvl w:val="3"/>
    </w:pPr>
    <w:rPr>
      <w:rFonts w:ascii="Times New Roman" w:hAnsi="Times New Roman" w:eastAsia="Times New Roman" w:cs="Times New Roman"/>
      <w:b/>
      <w:bCs/>
      <w:i w:val="0"/>
      <w:iCs w:val="0"/>
      <w:color w:val="0f4761" w:themeColor="text1"/>
      <w:lang w:val="ru-RU" w:bidi="ru-RU"/>
    </w:rPr>
  </w:style>
  <w:style w:type="paragraph" w:styleId="951">
    <w:name w:val="Heading 5"/>
    <w:basedOn w:val="1006"/>
    <w:next w:val="1006"/>
    <w:link w:val="961"/>
    <w:uiPriority w:val="9"/>
    <w:unhideWhenUsed/>
    <w:qFormat/>
    <w:pPr>
      <w:keepNext w:val="true"/>
      <w:keepLines w:val="true"/>
      <w:pBdr/>
      <w:spacing w:after="40" w:before="80"/>
      <w:ind/>
      <w:outlineLvl w:val="4"/>
    </w:pPr>
    <w:rPr>
      <w:rFonts w:ascii="Arial" w:hAnsi="Arial" w:eastAsia="Arial" w:cs="Arial"/>
      <w:color w:val="0f4761" w:themeColor="text1"/>
      <w:lang w:val="ru-RU" w:bidi="ru-RU"/>
    </w:rPr>
  </w:style>
  <w:style w:type="paragraph" w:styleId="952">
    <w:name w:val="Heading 6"/>
    <w:basedOn w:val="1006"/>
    <w:next w:val="1006"/>
    <w:link w:val="96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53">
    <w:name w:val="Heading 7"/>
    <w:basedOn w:val="1006"/>
    <w:next w:val="1006"/>
    <w:link w:val="96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54">
    <w:name w:val="Heading 8"/>
    <w:basedOn w:val="1006"/>
    <w:next w:val="1006"/>
    <w:link w:val="96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55">
    <w:name w:val="Heading 9"/>
    <w:basedOn w:val="1006"/>
    <w:next w:val="1006"/>
    <w:link w:val="96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56" w:default="1">
    <w:name w:val="Default Paragraph Font"/>
    <w:uiPriority w:val="1"/>
    <w:semiHidden/>
    <w:unhideWhenUsed/>
    <w:pPr>
      <w:pBdr/>
      <w:spacing/>
      <w:ind/>
    </w:pPr>
  </w:style>
  <w:style w:type="character" w:styleId="957">
    <w:name w:val="Heading 1 Char"/>
    <w:link w:val="947"/>
    <w:uiPriority w:val="9"/>
    <w:pPr>
      <w:pBdr/>
      <w:spacing/>
      <w:ind/>
    </w:pPr>
    <w:rPr>
      <w:rFonts w:ascii="Times New Roman" w:hAnsi="Times New Roman" w:cs="Times New Roman"/>
      <w:b/>
      <w:bCs/>
      <w:sz w:val="32"/>
      <w:szCs w:val="32"/>
    </w:rPr>
  </w:style>
  <w:style w:type="character" w:styleId="958">
    <w:name w:val="Heading 2 Char"/>
    <w:link w:val="948"/>
    <w:uiPriority w:val="9"/>
    <w:pPr>
      <w:pBdr/>
      <w:spacing/>
      <w:ind/>
    </w:pPr>
    <w:rPr>
      <w:b/>
      <w:bCs/>
    </w:rPr>
  </w:style>
  <w:style w:type="character" w:styleId="959">
    <w:name w:val="Heading 3 Char"/>
    <w:link w:val="949"/>
    <w:uiPriority w:val="9"/>
    <w:pPr>
      <w:pBdr/>
      <w:spacing/>
      <w:ind/>
    </w:pPr>
    <w:rPr>
      <w:b/>
      <w:bCs/>
      <w:sz w:val="36"/>
      <w:szCs w:val="36"/>
    </w:rPr>
  </w:style>
  <w:style w:type="character" w:styleId="960">
    <w:name w:val="Heading 4 Char"/>
    <w:link w:val="950"/>
    <w:uiPriority w:val="9"/>
    <w:pPr>
      <w:pBdr/>
      <w:spacing/>
      <w:ind/>
    </w:pPr>
    <w:rPr>
      <w:rFonts w:ascii="Times New Roman" w:hAnsi="Times New Roman" w:eastAsia="Times New Roman" w:cs="Times New Roman"/>
      <w:b/>
      <w:bCs/>
      <w:i w:val="0"/>
      <w:iCs w:val="0"/>
    </w:rPr>
  </w:style>
  <w:style w:type="character" w:styleId="961">
    <w:name w:val="Heading 5 Char"/>
    <w:link w:val="951"/>
    <w:uiPriority w:val="9"/>
    <w:pPr>
      <w:pBdr/>
      <w:spacing/>
      <w:ind/>
    </w:pPr>
    <w:rPr>
      <w:color w:val="000000" w:themeColor="text1"/>
      <w:lang w:val="ru-RU" w:bidi="ru-RU"/>
    </w:rPr>
  </w:style>
  <w:style w:type="character" w:styleId="962">
    <w:name w:val="Heading 6 Char"/>
    <w:basedOn w:val="956"/>
    <w:link w:val="952"/>
    <w:uiPriority w:val="9"/>
    <w:pPr>
      <w:pBdr/>
      <w:spacing/>
      <w:ind/>
    </w:pPr>
    <w:rPr>
      <w:rFonts w:ascii="Arial" w:hAnsi="Arial" w:eastAsia="Arial" w:cs="Arial"/>
      <w:i/>
      <w:iCs/>
      <w:color w:val="595959" w:themeColor="text1" w:themeTint="A6"/>
    </w:rPr>
  </w:style>
  <w:style w:type="character" w:styleId="963">
    <w:name w:val="Heading 7 Char"/>
    <w:basedOn w:val="956"/>
    <w:link w:val="953"/>
    <w:uiPriority w:val="9"/>
    <w:pPr>
      <w:pBdr/>
      <w:spacing/>
      <w:ind/>
    </w:pPr>
    <w:rPr>
      <w:rFonts w:ascii="Arial" w:hAnsi="Arial" w:eastAsia="Arial" w:cs="Arial"/>
      <w:color w:val="595959" w:themeColor="text1" w:themeTint="A6"/>
    </w:rPr>
  </w:style>
  <w:style w:type="character" w:styleId="964">
    <w:name w:val="Heading 8 Char"/>
    <w:basedOn w:val="956"/>
    <w:link w:val="954"/>
    <w:uiPriority w:val="9"/>
    <w:pPr>
      <w:pBdr/>
      <w:spacing/>
      <w:ind/>
    </w:pPr>
    <w:rPr>
      <w:rFonts w:ascii="Arial" w:hAnsi="Arial" w:eastAsia="Arial" w:cs="Arial"/>
      <w:i/>
      <w:iCs/>
      <w:color w:val="272727" w:themeColor="text1" w:themeTint="D8"/>
    </w:rPr>
  </w:style>
  <w:style w:type="character" w:styleId="965">
    <w:name w:val="Heading 9 Char"/>
    <w:basedOn w:val="956"/>
    <w:link w:val="955"/>
    <w:uiPriority w:val="9"/>
    <w:pPr>
      <w:pBdr/>
      <w:spacing/>
      <w:ind/>
    </w:pPr>
    <w:rPr>
      <w:rFonts w:ascii="Arial" w:hAnsi="Arial" w:eastAsia="Arial" w:cs="Arial"/>
      <w:i/>
      <w:iCs/>
      <w:color w:val="272727" w:themeColor="text1" w:themeTint="D8"/>
    </w:rPr>
  </w:style>
  <w:style w:type="paragraph" w:styleId="966">
    <w:name w:val="Title"/>
    <w:basedOn w:val="1006"/>
    <w:next w:val="1006"/>
    <w:link w:val="967"/>
    <w:uiPriority w:val="10"/>
    <w:qFormat/>
    <w:pPr>
      <w:pBdr/>
      <w:spacing w:after="240" w:before="240"/>
      <w:ind/>
      <w:jc w:val="center"/>
    </w:pPr>
    <w:rPr>
      <w:rFonts w:ascii="Times New Roman" w:hAnsi="Times New Roman" w:cs="Times New Roman"/>
      <w:b/>
      <w:bCs/>
      <w:sz w:val="32"/>
      <w:szCs w:val="32"/>
    </w:rPr>
  </w:style>
  <w:style w:type="character" w:styleId="967">
    <w:name w:val="Title Char"/>
    <w:link w:val="966"/>
    <w:uiPriority w:val="10"/>
    <w:pPr>
      <w:pBdr/>
      <w:spacing/>
      <w:ind/>
    </w:pPr>
    <w:rPr>
      <w:rFonts w:ascii="Times New Roman" w:hAnsi="Times New Roman" w:cs="Times New Roman"/>
      <w:b/>
      <w:bCs/>
      <w:sz w:val="32"/>
      <w:szCs w:val="32"/>
    </w:rPr>
  </w:style>
  <w:style w:type="paragraph" w:styleId="968">
    <w:name w:val="Subtitle"/>
    <w:basedOn w:val="1006"/>
    <w:next w:val="1006"/>
    <w:link w:val="969"/>
    <w:uiPriority w:val="11"/>
    <w:qFormat/>
    <w:pPr>
      <w:numPr>
        <w:ilvl w:val="1"/>
      </w:numPr>
      <w:pBdr/>
      <w:spacing/>
      <w:ind/>
    </w:pPr>
    <w:rPr>
      <w:color w:val="595959" w:themeColor="text1" w:themeTint="A6"/>
      <w:spacing w:val="15"/>
      <w:sz w:val="28"/>
      <w:szCs w:val="28"/>
    </w:rPr>
  </w:style>
  <w:style w:type="character" w:styleId="969">
    <w:name w:val="Subtitle Char"/>
    <w:basedOn w:val="956"/>
    <w:link w:val="968"/>
    <w:uiPriority w:val="11"/>
    <w:pPr>
      <w:pBdr/>
      <w:spacing/>
      <w:ind/>
    </w:pPr>
    <w:rPr>
      <w:color w:val="595959" w:themeColor="text1" w:themeTint="A6"/>
      <w:spacing w:val="15"/>
      <w:sz w:val="28"/>
      <w:szCs w:val="28"/>
    </w:rPr>
  </w:style>
  <w:style w:type="paragraph" w:styleId="970">
    <w:name w:val="Quote"/>
    <w:basedOn w:val="1006"/>
    <w:next w:val="1006"/>
    <w:link w:val="971"/>
    <w:uiPriority w:val="29"/>
    <w:qFormat/>
    <w:pPr>
      <w:pBdr/>
      <w:spacing w:before="160"/>
      <w:ind/>
      <w:jc w:val="center"/>
    </w:pPr>
    <w:rPr>
      <w:i/>
      <w:iCs/>
      <w:color w:val="404040" w:themeColor="text1" w:themeTint="BF"/>
    </w:rPr>
  </w:style>
  <w:style w:type="character" w:styleId="971">
    <w:name w:val="Quote Char"/>
    <w:basedOn w:val="956"/>
    <w:link w:val="970"/>
    <w:uiPriority w:val="29"/>
    <w:pPr>
      <w:pBdr/>
      <w:spacing/>
      <w:ind/>
    </w:pPr>
    <w:rPr>
      <w:i/>
      <w:iCs/>
      <w:color w:val="404040" w:themeColor="text1" w:themeTint="BF"/>
    </w:rPr>
  </w:style>
  <w:style w:type="character" w:styleId="972">
    <w:name w:val="Intense Emphasis"/>
    <w:basedOn w:val="956"/>
    <w:uiPriority w:val="21"/>
    <w:qFormat/>
    <w:pPr>
      <w:pBdr/>
      <w:spacing/>
      <w:ind/>
    </w:pPr>
    <w:rPr>
      <w:i/>
      <w:iCs/>
      <w:color w:val="0f4761" w:themeColor="accent1" w:themeShade="BF"/>
    </w:rPr>
  </w:style>
  <w:style w:type="paragraph" w:styleId="973">
    <w:name w:val="Intense Quote"/>
    <w:basedOn w:val="1006"/>
    <w:next w:val="1006"/>
    <w:link w:val="97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74">
    <w:name w:val="Intense Quote Char"/>
    <w:basedOn w:val="956"/>
    <w:link w:val="973"/>
    <w:uiPriority w:val="30"/>
    <w:pPr>
      <w:pBdr/>
      <w:spacing/>
      <w:ind/>
    </w:pPr>
    <w:rPr>
      <w:i/>
      <w:iCs/>
      <w:color w:val="0f4761" w:themeColor="accent1" w:themeShade="BF"/>
    </w:rPr>
  </w:style>
  <w:style w:type="character" w:styleId="975">
    <w:name w:val="Intense Reference"/>
    <w:basedOn w:val="956"/>
    <w:uiPriority w:val="32"/>
    <w:qFormat/>
    <w:pPr>
      <w:pBdr/>
      <w:spacing/>
      <w:ind/>
    </w:pPr>
    <w:rPr>
      <w:b/>
      <w:bCs/>
      <w:smallCaps/>
      <w:color w:val="0f4761" w:themeColor="accent1" w:themeShade="BF"/>
      <w:spacing w:val="5"/>
    </w:rPr>
  </w:style>
  <w:style w:type="character" w:styleId="976">
    <w:name w:val="Subtle Emphasis"/>
    <w:basedOn w:val="956"/>
    <w:uiPriority w:val="19"/>
    <w:qFormat/>
    <w:pPr>
      <w:pBdr/>
      <w:spacing/>
      <w:ind/>
    </w:pPr>
    <w:rPr>
      <w:i/>
      <w:iCs/>
      <w:color w:val="404040" w:themeColor="text1" w:themeTint="BF"/>
    </w:rPr>
  </w:style>
  <w:style w:type="character" w:styleId="977">
    <w:name w:val="Emphasis"/>
    <w:basedOn w:val="956"/>
    <w:uiPriority w:val="20"/>
    <w:qFormat/>
    <w:pPr>
      <w:pBdr/>
      <w:spacing/>
      <w:ind/>
    </w:pPr>
    <w:rPr>
      <w:i/>
      <w:iCs/>
    </w:rPr>
  </w:style>
  <w:style w:type="character" w:styleId="978">
    <w:name w:val="Strong"/>
    <w:basedOn w:val="956"/>
    <w:uiPriority w:val="22"/>
    <w:qFormat/>
    <w:pPr>
      <w:pBdr/>
      <w:spacing/>
      <w:ind/>
    </w:pPr>
    <w:rPr>
      <w:b/>
      <w:bCs/>
    </w:rPr>
  </w:style>
  <w:style w:type="character" w:styleId="979">
    <w:name w:val="Subtle Reference"/>
    <w:basedOn w:val="956"/>
    <w:uiPriority w:val="31"/>
    <w:qFormat/>
    <w:pPr>
      <w:pBdr/>
      <w:spacing/>
      <w:ind/>
    </w:pPr>
    <w:rPr>
      <w:smallCaps/>
      <w:color w:val="5a5a5a" w:themeColor="text1" w:themeTint="A5"/>
    </w:rPr>
  </w:style>
  <w:style w:type="character" w:styleId="980">
    <w:name w:val="Book Title"/>
    <w:basedOn w:val="956"/>
    <w:uiPriority w:val="33"/>
    <w:qFormat/>
    <w:pPr>
      <w:pBdr/>
      <w:spacing/>
      <w:ind/>
    </w:pPr>
    <w:rPr>
      <w:b/>
      <w:bCs/>
      <w:i/>
      <w:iCs/>
      <w:spacing w:val="5"/>
    </w:rPr>
  </w:style>
  <w:style w:type="paragraph" w:styleId="981">
    <w:name w:val="Header"/>
    <w:basedOn w:val="1006"/>
    <w:link w:val="982"/>
    <w:uiPriority w:val="99"/>
    <w:unhideWhenUsed/>
    <w:pPr>
      <w:pBdr/>
      <w:tabs>
        <w:tab w:val="center" w:leader="none" w:pos="4844"/>
        <w:tab w:val="right" w:leader="none" w:pos="9689"/>
      </w:tabs>
      <w:spacing w:after="0" w:line="240" w:lineRule="auto"/>
      <w:ind/>
    </w:pPr>
  </w:style>
  <w:style w:type="character" w:styleId="982">
    <w:name w:val="Header Char"/>
    <w:basedOn w:val="956"/>
    <w:link w:val="981"/>
    <w:uiPriority w:val="99"/>
    <w:pPr>
      <w:pBdr/>
      <w:spacing/>
      <w:ind/>
    </w:pPr>
  </w:style>
  <w:style w:type="paragraph" w:styleId="983">
    <w:name w:val="Footer"/>
    <w:basedOn w:val="1006"/>
    <w:link w:val="984"/>
    <w:uiPriority w:val="99"/>
    <w:unhideWhenUsed/>
    <w:pPr>
      <w:pBdr/>
      <w:tabs>
        <w:tab w:val="center" w:leader="none" w:pos="4844"/>
        <w:tab w:val="right" w:leader="none" w:pos="9689"/>
      </w:tabs>
      <w:spacing w:after="0" w:line="240" w:lineRule="auto"/>
      <w:ind/>
    </w:pPr>
  </w:style>
  <w:style w:type="character" w:styleId="984">
    <w:name w:val="Footer Char"/>
    <w:basedOn w:val="956"/>
    <w:link w:val="983"/>
    <w:uiPriority w:val="99"/>
    <w:pPr>
      <w:pBdr/>
      <w:spacing/>
      <w:ind/>
    </w:pPr>
  </w:style>
  <w:style w:type="paragraph" w:styleId="985">
    <w:name w:val="Caption"/>
    <w:basedOn w:val="1006"/>
    <w:next w:val="1006"/>
    <w:uiPriority w:val="35"/>
    <w:unhideWhenUsed/>
    <w:qFormat/>
    <w:pPr>
      <w:pBdr/>
      <w:spacing w:after="200" w:line="240" w:lineRule="auto"/>
      <w:ind/>
    </w:pPr>
    <w:rPr>
      <w:rFonts w:ascii="Times New Roman" w:hAnsi="Times New Roman" w:eastAsia="Times New Roman" w:cs="Times New Roman"/>
      <w:i w:val="0"/>
      <w:iCs w:val="0"/>
      <w:color w:val="0e2841" w:themeColor="text1"/>
      <w:sz w:val="24"/>
      <w:szCs w:val="24"/>
    </w:rPr>
  </w:style>
  <w:style w:type="paragraph" w:styleId="986">
    <w:name w:val="footnote text"/>
    <w:basedOn w:val="1006"/>
    <w:link w:val="987"/>
    <w:uiPriority w:val="99"/>
    <w:semiHidden/>
    <w:unhideWhenUsed/>
    <w:pPr>
      <w:pBdr/>
      <w:spacing w:after="0" w:line="240" w:lineRule="auto"/>
      <w:ind/>
    </w:pPr>
    <w:rPr>
      <w:sz w:val="20"/>
      <w:szCs w:val="20"/>
    </w:rPr>
  </w:style>
  <w:style w:type="character" w:styleId="987">
    <w:name w:val="Footnote Text Char"/>
    <w:basedOn w:val="956"/>
    <w:link w:val="986"/>
    <w:uiPriority w:val="99"/>
    <w:semiHidden/>
    <w:pPr>
      <w:pBdr/>
      <w:spacing/>
      <w:ind/>
    </w:pPr>
    <w:rPr>
      <w:sz w:val="20"/>
      <w:szCs w:val="20"/>
    </w:rPr>
  </w:style>
  <w:style w:type="character" w:styleId="988">
    <w:name w:val="footnote reference"/>
    <w:basedOn w:val="956"/>
    <w:uiPriority w:val="99"/>
    <w:semiHidden/>
    <w:unhideWhenUsed/>
    <w:pPr>
      <w:pBdr/>
      <w:spacing/>
      <w:ind/>
    </w:pPr>
    <w:rPr>
      <w:vertAlign w:val="superscript"/>
    </w:rPr>
  </w:style>
  <w:style w:type="paragraph" w:styleId="989">
    <w:name w:val="endnote text"/>
    <w:basedOn w:val="1006"/>
    <w:link w:val="990"/>
    <w:uiPriority w:val="99"/>
    <w:semiHidden/>
    <w:unhideWhenUsed/>
    <w:pPr>
      <w:pBdr/>
      <w:spacing w:after="0" w:line="240" w:lineRule="auto"/>
      <w:ind/>
    </w:pPr>
    <w:rPr>
      <w:sz w:val="20"/>
      <w:szCs w:val="20"/>
    </w:rPr>
  </w:style>
  <w:style w:type="character" w:styleId="990">
    <w:name w:val="Endnote Text Char"/>
    <w:basedOn w:val="956"/>
    <w:link w:val="989"/>
    <w:uiPriority w:val="99"/>
    <w:semiHidden/>
    <w:pPr>
      <w:pBdr/>
      <w:spacing/>
      <w:ind/>
    </w:pPr>
    <w:rPr>
      <w:sz w:val="20"/>
      <w:szCs w:val="20"/>
    </w:rPr>
  </w:style>
  <w:style w:type="character" w:styleId="991">
    <w:name w:val="endnote reference"/>
    <w:basedOn w:val="956"/>
    <w:uiPriority w:val="99"/>
    <w:semiHidden/>
    <w:unhideWhenUsed/>
    <w:pPr>
      <w:pBdr/>
      <w:spacing/>
      <w:ind/>
    </w:pPr>
    <w:rPr>
      <w:vertAlign w:val="superscript"/>
    </w:rPr>
  </w:style>
  <w:style w:type="character" w:styleId="992">
    <w:name w:val="Hyperlink"/>
    <w:basedOn w:val="956"/>
    <w:uiPriority w:val="99"/>
    <w:unhideWhenUsed/>
    <w:pPr>
      <w:pBdr/>
      <w:spacing/>
      <w:ind/>
    </w:pPr>
    <w:rPr>
      <w:color w:val="0563c1" w:themeColor="hyperlink"/>
      <w:u w:val="single"/>
    </w:rPr>
  </w:style>
  <w:style w:type="character" w:styleId="993">
    <w:name w:val="FollowedHyperlink"/>
    <w:basedOn w:val="956"/>
    <w:uiPriority w:val="99"/>
    <w:semiHidden/>
    <w:unhideWhenUsed/>
    <w:pPr>
      <w:pBdr/>
      <w:spacing/>
      <w:ind/>
    </w:pPr>
    <w:rPr>
      <w:color w:val="954f72" w:themeColor="followedHyperlink"/>
      <w:u w:val="single"/>
    </w:rPr>
  </w:style>
  <w:style w:type="paragraph" w:styleId="994">
    <w:name w:val="toc 1"/>
    <w:basedOn w:val="1006"/>
    <w:next w:val="1006"/>
    <w:uiPriority w:val="39"/>
    <w:unhideWhenUsed/>
    <w:pPr>
      <w:pBdr/>
      <w:spacing w:after="100"/>
      <w:ind/>
    </w:pPr>
  </w:style>
  <w:style w:type="paragraph" w:styleId="995">
    <w:name w:val="toc 2"/>
    <w:basedOn w:val="1006"/>
    <w:next w:val="1006"/>
    <w:uiPriority w:val="39"/>
    <w:unhideWhenUsed/>
    <w:pPr>
      <w:pBdr/>
      <w:spacing w:after="100"/>
      <w:ind w:left="220"/>
    </w:pPr>
  </w:style>
  <w:style w:type="paragraph" w:styleId="996">
    <w:name w:val="toc 3"/>
    <w:basedOn w:val="1006"/>
    <w:next w:val="1006"/>
    <w:uiPriority w:val="39"/>
    <w:unhideWhenUsed/>
    <w:pPr>
      <w:pBdr/>
      <w:spacing w:after="100"/>
      <w:ind w:left="440"/>
    </w:pPr>
  </w:style>
  <w:style w:type="paragraph" w:styleId="997">
    <w:name w:val="toc 4"/>
    <w:basedOn w:val="1006"/>
    <w:next w:val="1006"/>
    <w:uiPriority w:val="39"/>
    <w:unhideWhenUsed/>
    <w:pPr>
      <w:pBdr/>
      <w:spacing w:after="100"/>
      <w:ind w:left="660"/>
    </w:pPr>
  </w:style>
  <w:style w:type="paragraph" w:styleId="998">
    <w:name w:val="toc 5"/>
    <w:basedOn w:val="1006"/>
    <w:next w:val="1006"/>
    <w:uiPriority w:val="39"/>
    <w:unhideWhenUsed/>
    <w:pPr>
      <w:pBdr/>
      <w:spacing w:after="100"/>
      <w:ind w:left="880"/>
    </w:pPr>
  </w:style>
  <w:style w:type="paragraph" w:styleId="999">
    <w:name w:val="toc 6"/>
    <w:basedOn w:val="1006"/>
    <w:next w:val="1006"/>
    <w:uiPriority w:val="39"/>
    <w:unhideWhenUsed/>
    <w:pPr>
      <w:pBdr/>
      <w:spacing w:after="100"/>
      <w:ind w:left="1100"/>
    </w:pPr>
  </w:style>
  <w:style w:type="paragraph" w:styleId="1000">
    <w:name w:val="toc 7"/>
    <w:basedOn w:val="1006"/>
    <w:next w:val="1006"/>
    <w:uiPriority w:val="39"/>
    <w:unhideWhenUsed/>
    <w:pPr>
      <w:pBdr/>
      <w:spacing w:after="100"/>
      <w:ind w:left="1320"/>
    </w:pPr>
  </w:style>
  <w:style w:type="paragraph" w:styleId="1001">
    <w:name w:val="toc 8"/>
    <w:basedOn w:val="1006"/>
    <w:next w:val="1006"/>
    <w:uiPriority w:val="39"/>
    <w:unhideWhenUsed/>
    <w:pPr>
      <w:pBdr/>
      <w:spacing w:after="100"/>
      <w:ind w:left="1540"/>
    </w:pPr>
  </w:style>
  <w:style w:type="paragraph" w:styleId="1002">
    <w:name w:val="toc 9"/>
    <w:basedOn w:val="1006"/>
    <w:next w:val="1006"/>
    <w:uiPriority w:val="39"/>
    <w:unhideWhenUsed/>
    <w:pPr>
      <w:pBdr/>
      <w:spacing w:after="100"/>
      <w:ind w:left="1760"/>
    </w:pPr>
  </w:style>
  <w:style w:type="character" w:styleId="1003">
    <w:name w:val="Placeholder Text"/>
    <w:basedOn w:val="956"/>
    <w:uiPriority w:val="99"/>
    <w:semiHidden/>
    <w:pPr>
      <w:pBdr/>
      <w:spacing/>
      <w:ind/>
    </w:pPr>
    <w:rPr>
      <w:color w:val="666666"/>
    </w:rPr>
  </w:style>
  <w:style w:type="paragraph" w:styleId="1004">
    <w:name w:val="TOC Heading"/>
    <w:uiPriority w:val="39"/>
    <w:unhideWhenUsed/>
    <w:pPr>
      <w:pBdr/>
      <w:spacing/>
      <w:ind/>
    </w:pPr>
  </w:style>
  <w:style w:type="paragraph" w:styleId="1005">
    <w:name w:val="table of figures"/>
    <w:basedOn w:val="1006"/>
    <w:next w:val="1006"/>
    <w:uiPriority w:val="99"/>
    <w:unhideWhenUsed/>
    <w:pPr>
      <w:pBdr/>
      <w:spacing w:after="0" w:afterAutospacing="0"/>
      <w:ind/>
    </w:pPr>
  </w:style>
  <w:style w:type="paragraph" w:styleId="1006" w:default="1">
    <w:name w:val="Normal"/>
    <w:qFormat/>
    <w:pPr>
      <w:pBdr>
        <w:top w:val="none" w:color="000000" w:sz="4" w:space="0"/>
        <w:left w:val="none" w:color="000000" w:sz="4" w:space="0"/>
        <w:bottom w:val="none" w:color="000000" w:sz="4" w:space="0"/>
        <w:right w:val="none" w:color="000000" w:sz="4" w:space="0"/>
      </w:pBdr>
      <w:spacing w:line="360" w:lineRule="auto"/>
      <w:ind w:right="0" w:firstLine="0" w:left="0"/>
      <w:jc w:val="both"/>
    </w:pPr>
    <w:rPr>
      <w:rFonts w:ascii="Times New Roman" w:hAnsi="Times New Roman" w:eastAsia="Times New Roman" w:cs="Times New Roman"/>
      <w:sz w:val="28"/>
      <w:szCs w:val="28"/>
      <w:lang w:val="ru-RU" w:bidi="ru-RU"/>
    </w:rPr>
  </w:style>
  <w:style w:type="table" w:styleId="100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08" w:default="1">
    <w:name w:val="No List"/>
    <w:uiPriority w:val="99"/>
    <w:semiHidden/>
    <w:unhideWhenUsed/>
    <w:pPr>
      <w:pBdr/>
      <w:spacing/>
      <w:ind/>
    </w:pPr>
  </w:style>
  <w:style w:type="paragraph" w:styleId="1009">
    <w:name w:val="No Spacing"/>
    <w:basedOn w:val="1006"/>
    <w:uiPriority w:val="1"/>
    <w:qFormat/>
    <w:pPr>
      <w:pBdr/>
      <w:spacing w:after="0" w:line="240" w:lineRule="auto"/>
      <w:ind/>
    </w:pPr>
  </w:style>
  <w:style w:type="paragraph" w:styleId="1010">
    <w:name w:val="List Paragraph"/>
    <w:basedOn w:val="100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footer" Target="footer1.xml"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1003"/>
            </w:rPr>
            <w:t xml:space="preserve">Your text here</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51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4">
    <w:name w:val="Table Grid"/>
    <w:basedOn w:val="151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5">
    <w:name w:val="Table Grid Light"/>
    <w:basedOn w:val="151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6">
    <w:name w:val="Plain Table 1"/>
    <w:basedOn w:val="151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7">
    <w:name w:val="Plain Table 2"/>
    <w:basedOn w:val="151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8">
    <w:name w:val="Plain Table 3"/>
    <w:basedOn w:val="15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9">
    <w:name w:val="Plain Table 4"/>
    <w:basedOn w:val="15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0">
    <w:name w:val="Plain Table 5"/>
    <w:basedOn w:val="15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1">
    <w:name w:val="Grid Table 1 Light"/>
    <w:basedOn w:val="151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2">
    <w:name w:val="Grid Table 1 Light - Accent 1"/>
    <w:basedOn w:val="151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3">
    <w:name w:val="Grid Table 1 Light - Accent 2"/>
    <w:basedOn w:val="151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4">
    <w:name w:val="Grid Table 1 Light - Accent 3"/>
    <w:basedOn w:val="151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5">
    <w:name w:val="Grid Table 1 Light - Accent 4"/>
    <w:basedOn w:val="151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6">
    <w:name w:val="Grid Table 1 Light - Accent 5"/>
    <w:basedOn w:val="151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7">
    <w:name w:val="Grid Table 1 Light - Accent 6"/>
    <w:basedOn w:val="151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8">
    <w:name w:val="Grid Table 2"/>
    <w:basedOn w:val="151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9">
    <w:name w:val="Grid Table 2 - Accent 1"/>
    <w:basedOn w:val="151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0">
    <w:name w:val="Grid Table 2 - Accent 2"/>
    <w:basedOn w:val="151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1">
    <w:name w:val="Grid Table 2 - Accent 3"/>
    <w:basedOn w:val="151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2">
    <w:name w:val="Grid Table 2 - Accent 4"/>
    <w:basedOn w:val="151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3">
    <w:name w:val="Grid Table 2 - Accent 5"/>
    <w:basedOn w:val="151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4">
    <w:name w:val="Grid Table 2 - Accent 6"/>
    <w:basedOn w:val="151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5">
    <w:name w:val="Grid Table 3"/>
    <w:basedOn w:val="151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6">
    <w:name w:val="Grid Table 3 - Accent 1"/>
    <w:basedOn w:val="151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7">
    <w:name w:val="Grid Table 3 - Accent 2"/>
    <w:basedOn w:val="151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8">
    <w:name w:val="Grid Table 3 - Accent 3"/>
    <w:basedOn w:val="151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9">
    <w:name w:val="Grid Table 3 - Accent 4"/>
    <w:basedOn w:val="151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0">
    <w:name w:val="Grid Table 3 - Accent 5"/>
    <w:basedOn w:val="151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1">
    <w:name w:val="Grid Table 3 - Accent 6"/>
    <w:basedOn w:val="151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2">
    <w:name w:val="Grid Table 4"/>
    <w:basedOn w:val="151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3">
    <w:name w:val="Grid Table 4 - Accent 1"/>
    <w:basedOn w:val="151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4">
    <w:name w:val="Grid Table 4 - Accent 2"/>
    <w:basedOn w:val="151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5">
    <w:name w:val="Grid Table 4 - Accent 3"/>
    <w:basedOn w:val="151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6">
    <w:name w:val="Grid Table 4 - Accent 4"/>
    <w:basedOn w:val="151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7">
    <w:name w:val="Grid Table 4 - Accent 5"/>
    <w:basedOn w:val="151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8">
    <w:name w:val="Grid Table 4 - Accent 6"/>
    <w:basedOn w:val="151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9">
    <w:name w:val="Grid Table 5 Dark"/>
    <w:basedOn w:val="15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0">
    <w:name w:val="Grid Table 5 Dark- Accent 1"/>
    <w:basedOn w:val="15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1">
    <w:name w:val="Grid Table 5 Dark - Accent 2"/>
    <w:basedOn w:val="15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2">
    <w:name w:val="Grid Table 5 Dark - Accent 3"/>
    <w:basedOn w:val="15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3">
    <w:name w:val="Grid Table 5 Dark- Accent 4"/>
    <w:basedOn w:val="15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4">
    <w:name w:val="Grid Table 5 Dark - Accent 5"/>
    <w:basedOn w:val="15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5">
    <w:name w:val="Grid Table 5 Dark - Accent 6"/>
    <w:basedOn w:val="15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6">
    <w:name w:val="Grid Table 6 Colorful"/>
    <w:basedOn w:val="151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557">
    <w:name w:val="Grid Table 6 Colorful - Accent 1"/>
    <w:basedOn w:val="151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558">
    <w:name w:val="Grid Table 6 Colorful - Accent 2"/>
    <w:basedOn w:val="151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559">
    <w:name w:val="Grid Table 6 Colorful - Accent 3"/>
    <w:basedOn w:val="151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560">
    <w:name w:val="Grid Table 6 Colorful - Accent 4"/>
    <w:basedOn w:val="151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561">
    <w:name w:val="Grid Table 6 Colorful - Accent 5"/>
    <w:basedOn w:val="151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562">
    <w:name w:val="Grid Table 6 Colorful - Accent 6"/>
    <w:basedOn w:val="151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563">
    <w:name w:val="Grid Table 7 Colorful"/>
    <w:basedOn w:val="151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4">
    <w:name w:val="Grid Table 7 Colorful - Accent 1"/>
    <w:basedOn w:val="151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5">
    <w:name w:val="Grid Table 7 Colorful - Accent 2"/>
    <w:basedOn w:val="151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6">
    <w:name w:val="Grid Table 7 Colorful - Accent 3"/>
    <w:basedOn w:val="151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7">
    <w:name w:val="Grid Table 7 Colorful - Accent 4"/>
    <w:basedOn w:val="151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8">
    <w:name w:val="Grid Table 7 Colorful - Accent 5"/>
    <w:basedOn w:val="151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9">
    <w:name w:val="Grid Table 7 Colorful - Accent 6"/>
    <w:basedOn w:val="151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0">
    <w:name w:val="List Table 1 Light"/>
    <w:basedOn w:val="15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1">
    <w:name w:val="List Table 1 Light - Accent 1"/>
    <w:basedOn w:val="15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2">
    <w:name w:val="List Table 1 Light - Accent 2"/>
    <w:basedOn w:val="15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3">
    <w:name w:val="List Table 1 Light - Accent 3"/>
    <w:basedOn w:val="15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4">
    <w:name w:val="List Table 1 Light - Accent 4"/>
    <w:basedOn w:val="15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5">
    <w:name w:val="List Table 1 Light - Accent 5"/>
    <w:basedOn w:val="15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6">
    <w:name w:val="List Table 1 Light - Accent 6"/>
    <w:basedOn w:val="15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7">
    <w:name w:val="List Table 2"/>
    <w:basedOn w:val="151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8">
    <w:name w:val="List Table 2 - Accent 1"/>
    <w:basedOn w:val="151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9">
    <w:name w:val="List Table 2 - Accent 2"/>
    <w:basedOn w:val="151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0">
    <w:name w:val="List Table 2 - Accent 3"/>
    <w:basedOn w:val="151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1">
    <w:name w:val="List Table 2 - Accent 4"/>
    <w:basedOn w:val="151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2">
    <w:name w:val="List Table 2 - Accent 5"/>
    <w:basedOn w:val="151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3">
    <w:name w:val="List Table 2 - Accent 6"/>
    <w:basedOn w:val="151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4">
    <w:name w:val="List Table 3"/>
    <w:basedOn w:val="151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5">
    <w:name w:val="List Table 3 - Accent 1"/>
    <w:basedOn w:val="151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6">
    <w:name w:val="List Table 3 - Accent 2"/>
    <w:basedOn w:val="151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7">
    <w:name w:val="List Table 3 - Accent 3"/>
    <w:basedOn w:val="151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8">
    <w:name w:val="List Table 3 - Accent 4"/>
    <w:basedOn w:val="151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9">
    <w:name w:val="List Table 3 - Accent 5"/>
    <w:basedOn w:val="151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0">
    <w:name w:val="List Table 3 - Accent 6"/>
    <w:basedOn w:val="151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1">
    <w:name w:val="List Table 4"/>
    <w:basedOn w:val="151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2">
    <w:name w:val="List Table 4 - Accent 1"/>
    <w:basedOn w:val="151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3">
    <w:name w:val="List Table 4 - Accent 2"/>
    <w:basedOn w:val="151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4">
    <w:name w:val="List Table 4 - Accent 3"/>
    <w:basedOn w:val="151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5">
    <w:name w:val="List Table 4 - Accent 4"/>
    <w:basedOn w:val="151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6">
    <w:name w:val="List Table 4 - Accent 5"/>
    <w:basedOn w:val="151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7">
    <w:name w:val="List Table 4 - Accent 6"/>
    <w:basedOn w:val="151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8">
    <w:name w:val="List Table 5 Dark"/>
    <w:basedOn w:val="151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99">
    <w:name w:val="List Table 5 Dark - Accent 1"/>
    <w:basedOn w:val="151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00">
    <w:name w:val="List Table 5 Dark - Accent 2"/>
    <w:basedOn w:val="151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01">
    <w:name w:val="List Table 5 Dark - Accent 3"/>
    <w:basedOn w:val="151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02">
    <w:name w:val="List Table 5 Dark - Accent 4"/>
    <w:basedOn w:val="151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03">
    <w:name w:val="List Table 5 Dark - Accent 5"/>
    <w:basedOn w:val="151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04">
    <w:name w:val="List Table 5 Dark - Accent 6"/>
    <w:basedOn w:val="151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05">
    <w:name w:val="List Table 6 Colorful"/>
    <w:basedOn w:val="151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6">
    <w:name w:val="List Table 6 Colorful - Accent 1"/>
    <w:basedOn w:val="151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7">
    <w:name w:val="List Table 6 Colorful - Accent 2"/>
    <w:basedOn w:val="151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8">
    <w:name w:val="List Table 6 Colorful - Accent 3"/>
    <w:basedOn w:val="151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9">
    <w:name w:val="List Table 6 Colorful - Accent 4"/>
    <w:basedOn w:val="151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0">
    <w:name w:val="List Table 6 Colorful - Accent 5"/>
    <w:basedOn w:val="151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1">
    <w:name w:val="List Table 6 Colorful - Accent 6"/>
    <w:basedOn w:val="151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2">
    <w:name w:val="List Table 7 Colorful"/>
    <w:basedOn w:val="151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613">
    <w:name w:val="List Table 7 Colorful - Accent 1"/>
    <w:basedOn w:val="151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614">
    <w:name w:val="List Table 7 Colorful - Accent 2"/>
    <w:basedOn w:val="151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615">
    <w:name w:val="List Table 7 Colorful - Accent 3"/>
    <w:basedOn w:val="151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616">
    <w:name w:val="List Table 7 Colorful - Accent 4"/>
    <w:basedOn w:val="151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617">
    <w:name w:val="List Table 7 Colorful - Accent 5"/>
    <w:basedOn w:val="151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618">
    <w:name w:val="List Table 7 Colorful - Accent 6"/>
    <w:basedOn w:val="151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619">
    <w:name w:val="Lined - Accent"/>
    <w:basedOn w:val="15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0">
    <w:name w:val="Lined - Accent 1"/>
    <w:basedOn w:val="15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1">
    <w:name w:val="Lined - Accent 2"/>
    <w:basedOn w:val="15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2">
    <w:name w:val="Lined - Accent 3"/>
    <w:basedOn w:val="15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3">
    <w:name w:val="Lined - Accent 4"/>
    <w:basedOn w:val="15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4">
    <w:name w:val="Lined - Accent 5"/>
    <w:basedOn w:val="15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5">
    <w:name w:val="Lined - Accent 6"/>
    <w:basedOn w:val="15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6">
    <w:name w:val="Bordered &amp; Lined - Accent"/>
    <w:basedOn w:val="151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7">
    <w:name w:val="Bordered &amp; Lined - Accent 1"/>
    <w:basedOn w:val="151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8">
    <w:name w:val="Bordered &amp; Lined - Accent 2"/>
    <w:basedOn w:val="151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9">
    <w:name w:val="Bordered &amp; Lined - Accent 3"/>
    <w:basedOn w:val="151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0">
    <w:name w:val="Bordered &amp; Lined - Accent 4"/>
    <w:basedOn w:val="151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1">
    <w:name w:val="Bordered &amp; Lined - Accent 5"/>
    <w:basedOn w:val="151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2">
    <w:name w:val="Bordered &amp; Lined - Accent 6"/>
    <w:basedOn w:val="151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3">
    <w:name w:val="Bordered"/>
    <w:basedOn w:val="151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4">
    <w:name w:val="Bordered - Accent 1"/>
    <w:basedOn w:val="151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5">
    <w:name w:val="Bordered - Accent 2"/>
    <w:basedOn w:val="151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6">
    <w:name w:val="Bordered - Accent 3"/>
    <w:basedOn w:val="151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7">
    <w:name w:val="Bordered - Accent 4"/>
    <w:basedOn w:val="151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8">
    <w:name w:val="Bordered - Accent 5"/>
    <w:basedOn w:val="151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9">
    <w:name w:val="Bordered - Accent 6"/>
    <w:basedOn w:val="151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640" w:default="1">
    <w:name w:val="Normal"/>
    <w:qFormat/>
    <w:pPr>
      <w:pBdr/>
      <w:spacing/>
      <w:ind/>
    </w:pPr>
  </w:style>
  <w:style w:type="paragraph" w:styleId="1641">
    <w:name w:val="Heading 1"/>
    <w:basedOn w:val="1640"/>
    <w:next w:val="1640"/>
    <w:link w:val="1652"/>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642">
    <w:name w:val="Heading 2"/>
    <w:basedOn w:val="1640"/>
    <w:next w:val="1640"/>
    <w:link w:val="1653"/>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643">
    <w:name w:val="Heading 3"/>
    <w:basedOn w:val="1640"/>
    <w:next w:val="1640"/>
    <w:link w:val="1654"/>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644">
    <w:name w:val="Heading 4"/>
    <w:basedOn w:val="1640"/>
    <w:next w:val="1640"/>
    <w:link w:val="1655"/>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645">
    <w:name w:val="Heading 5"/>
    <w:basedOn w:val="1640"/>
    <w:next w:val="1640"/>
    <w:link w:val="1656"/>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646">
    <w:name w:val="Heading 6"/>
    <w:basedOn w:val="1640"/>
    <w:next w:val="1640"/>
    <w:link w:val="1657"/>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647">
    <w:name w:val="Heading 7"/>
    <w:basedOn w:val="1640"/>
    <w:next w:val="1640"/>
    <w:link w:val="1658"/>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648">
    <w:name w:val="Heading 8"/>
    <w:basedOn w:val="1640"/>
    <w:next w:val="1640"/>
    <w:link w:val="1659"/>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649">
    <w:name w:val="Heading 9"/>
    <w:basedOn w:val="1640"/>
    <w:next w:val="1640"/>
    <w:link w:val="1660"/>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650" w:default="1">
    <w:name w:val="Default Paragraph Font"/>
    <w:uiPriority w:val="1"/>
    <w:semiHidden/>
    <w:unhideWhenUsed/>
    <w:pPr>
      <w:pBdr/>
      <w:spacing/>
      <w:ind/>
    </w:pPr>
  </w:style>
  <w:style w:type="numbering" w:styleId="1651" w:default="1">
    <w:name w:val="No List"/>
    <w:uiPriority w:val="99"/>
    <w:semiHidden/>
    <w:unhideWhenUsed/>
    <w:pPr>
      <w:pBdr/>
      <w:spacing/>
      <w:ind/>
    </w:pPr>
  </w:style>
  <w:style w:type="character" w:styleId="1652">
    <w:name w:val="Heading 1 Char"/>
    <w:basedOn w:val="1650"/>
    <w:link w:val="1641"/>
    <w:uiPriority w:val="9"/>
    <w:pPr>
      <w:pBdr/>
      <w:spacing/>
      <w:ind/>
    </w:pPr>
    <w:rPr>
      <w:rFonts w:ascii="Arial" w:hAnsi="Arial" w:eastAsia="Arial" w:cs="Arial"/>
      <w:color w:val="0f4761" w:themeColor="accent1" w:themeShade="BF"/>
      <w:sz w:val="40"/>
      <w:szCs w:val="40"/>
    </w:rPr>
  </w:style>
  <w:style w:type="character" w:styleId="1653">
    <w:name w:val="Heading 2 Char"/>
    <w:basedOn w:val="1650"/>
    <w:link w:val="1642"/>
    <w:uiPriority w:val="9"/>
    <w:pPr>
      <w:pBdr/>
      <w:spacing/>
      <w:ind/>
    </w:pPr>
    <w:rPr>
      <w:rFonts w:ascii="Arial" w:hAnsi="Arial" w:eastAsia="Arial" w:cs="Arial"/>
      <w:color w:val="0f4761" w:themeColor="accent1" w:themeShade="BF"/>
      <w:sz w:val="32"/>
      <w:szCs w:val="32"/>
    </w:rPr>
  </w:style>
  <w:style w:type="character" w:styleId="1654">
    <w:name w:val="Heading 3 Char"/>
    <w:basedOn w:val="1650"/>
    <w:link w:val="1643"/>
    <w:uiPriority w:val="9"/>
    <w:pPr>
      <w:pBdr/>
      <w:spacing/>
      <w:ind/>
    </w:pPr>
    <w:rPr>
      <w:rFonts w:ascii="Arial" w:hAnsi="Arial" w:eastAsia="Arial" w:cs="Arial"/>
      <w:color w:val="0f4761" w:themeColor="accent1" w:themeShade="BF"/>
      <w:sz w:val="28"/>
      <w:szCs w:val="28"/>
    </w:rPr>
  </w:style>
  <w:style w:type="character" w:styleId="1655">
    <w:name w:val="Heading 4 Char"/>
    <w:basedOn w:val="1650"/>
    <w:link w:val="1644"/>
    <w:uiPriority w:val="9"/>
    <w:pPr>
      <w:pBdr/>
      <w:spacing/>
      <w:ind/>
    </w:pPr>
    <w:rPr>
      <w:rFonts w:ascii="Arial" w:hAnsi="Arial" w:eastAsia="Arial" w:cs="Arial"/>
      <w:i/>
      <w:iCs/>
      <w:color w:val="0f4761" w:themeColor="accent1" w:themeShade="BF"/>
    </w:rPr>
  </w:style>
  <w:style w:type="character" w:styleId="1656">
    <w:name w:val="Heading 5 Char"/>
    <w:basedOn w:val="1650"/>
    <w:link w:val="1645"/>
    <w:uiPriority w:val="9"/>
    <w:pPr>
      <w:pBdr/>
      <w:spacing/>
      <w:ind/>
    </w:pPr>
    <w:rPr>
      <w:rFonts w:ascii="Arial" w:hAnsi="Arial" w:eastAsia="Arial" w:cs="Arial"/>
      <w:color w:val="0f4761" w:themeColor="accent1" w:themeShade="BF"/>
    </w:rPr>
  </w:style>
  <w:style w:type="character" w:styleId="1657">
    <w:name w:val="Heading 6 Char"/>
    <w:basedOn w:val="1650"/>
    <w:link w:val="1646"/>
    <w:uiPriority w:val="9"/>
    <w:pPr>
      <w:pBdr/>
      <w:spacing/>
      <w:ind/>
    </w:pPr>
    <w:rPr>
      <w:rFonts w:ascii="Arial" w:hAnsi="Arial" w:eastAsia="Arial" w:cs="Arial"/>
      <w:i/>
      <w:iCs/>
      <w:color w:val="595959" w:themeColor="text1" w:themeTint="A6"/>
    </w:rPr>
  </w:style>
  <w:style w:type="character" w:styleId="1658">
    <w:name w:val="Heading 7 Char"/>
    <w:basedOn w:val="1650"/>
    <w:link w:val="1647"/>
    <w:uiPriority w:val="9"/>
    <w:pPr>
      <w:pBdr/>
      <w:spacing/>
      <w:ind/>
    </w:pPr>
    <w:rPr>
      <w:rFonts w:ascii="Arial" w:hAnsi="Arial" w:eastAsia="Arial" w:cs="Arial"/>
      <w:color w:val="595959" w:themeColor="text1" w:themeTint="A6"/>
    </w:rPr>
  </w:style>
  <w:style w:type="character" w:styleId="1659">
    <w:name w:val="Heading 8 Char"/>
    <w:basedOn w:val="1650"/>
    <w:link w:val="1648"/>
    <w:uiPriority w:val="9"/>
    <w:pPr>
      <w:pBdr/>
      <w:spacing/>
      <w:ind/>
    </w:pPr>
    <w:rPr>
      <w:rFonts w:ascii="Arial" w:hAnsi="Arial" w:eastAsia="Arial" w:cs="Arial"/>
      <w:i/>
      <w:iCs/>
      <w:color w:val="272727" w:themeColor="text1" w:themeTint="D8"/>
    </w:rPr>
  </w:style>
  <w:style w:type="character" w:styleId="1660">
    <w:name w:val="Heading 9 Char"/>
    <w:basedOn w:val="1650"/>
    <w:link w:val="1649"/>
    <w:uiPriority w:val="9"/>
    <w:pPr>
      <w:pBdr/>
      <w:spacing/>
      <w:ind/>
    </w:pPr>
    <w:rPr>
      <w:rFonts w:ascii="Arial" w:hAnsi="Arial" w:eastAsia="Arial" w:cs="Arial"/>
      <w:i/>
      <w:iCs/>
      <w:color w:val="272727" w:themeColor="text1" w:themeTint="D8"/>
    </w:rPr>
  </w:style>
  <w:style w:type="paragraph" w:styleId="1661">
    <w:name w:val="Title"/>
    <w:basedOn w:val="1640"/>
    <w:next w:val="1640"/>
    <w:link w:val="1662"/>
    <w:uiPriority w:val="10"/>
    <w:qFormat/>
    <w:pPr>
      <w:pBdr/>
      <w:spacing w:after="80" w:line="240" w:lineRule="auto"/>
      <w:ind/>
      <w:contextualSpacing w:val="true"/>
    </w:pPr>
    <w:rPr>
      <w:rFonts w:ascii="Arial" w:hAnsi="Arial" w:eastAsia="Arial" w:cs="Arial"/>
      <w:spacing w:val="-10"/>
      <w:sz w:val="56"/>
      <w:szCs w:val="56"/>
    </w:rPr>
  </w:style>
  <w:style w:type="character" w:styleId="1662">
    <w:name w:val="Title Char"/>
    <w:basedOn w:val="1650"/>
    <w:link w:val="1661"/>
    <w:uiPriority w:val="10"/>
    <w:pPr>
      <w:pBdr/>
      <w:spacing/>
      <w:ind/>
    </w:pPr>
    <w:rPr>
      <w:rFonts w:ascii="Arial" w:hAnsi="Arial" w:eastAsia="Arial" w:cs="Arial"/>
      <w:spacing w:val="-10"/>
      <w:sz w:val="56"/>
      <w:szCs w:val="56"/>
    </w:rPr>
  </w:style>
  <w:style w:type="paragraph" w:styleId="1663">
    <w:name w:val="Subtitle"/>
    <w:basedOn w:val="1640"/>
    <w:next w:val="1640"/>
    <w:link w:val="1664"/>
    <w:uiPriority w:val="11"/>
    <w:qFormat/>
    <w:pPr>
      <w:numPr>
        <w:ilvl w:val="1"/>
      </w:numPr>
      <w:pBdr/>
      <w:spacing/>
      <w:ind/>
    </w:pPr>
    <w:rPr>
      <w:color w:val="595959" w:themeColor="text1" w:themeTint="A6"/>
      <w:spacing w:val="15"/>
      <w:sz w:val="28"/>
      <w:szCs w:val="28"/>
    </w:rPr>
  </w:style>
  <w:style w:type="character" w:styleId="1664">
    <w:name w:val="Subtitle Char"/>
    <w:basedOn w:val="1650"/>
    <w:link w:val="1663"/>
    <w:uiPriority w:val="11"/>
    <w:pPr>
      <w:pBdr/>
      <w:spacing/>
      <w:ind/>
    </w:pPr>
    <w:rPr>
      <w:color w:val="595959" w:themeColor="text1" w:themeTint="A6"/>
      <w:spacing w:val="15"/>
      <w:sz w:val="28"/>
      <w:szCs w:val="28"/>
    </w:rPr>
  </w:style>
  <w:style w:type="paragraph" w:styleId="1665">
    <w:name w:val="Quote"/>
    <w:basedOn w:val="1640"/>
    <w:next w:val="1640"/>
    <w:link w:val="1666"/>
    <w:uiPriority w:val="29"/>
    <w:qFormat/>
    <w:pPr>
      <w:pBdr/>
      <w:spacing w:before="160"/>
      <w:ind/>
      <w:jc w:val="center"/>
    </w:pPr>
    <w:rPr>
      <w:i/>
      <w:iCs/>
      <w:color w:val="404040" w:themeColor="text1" w:themeTint="BF"/>
    </w:rPr>
  </w:style>
  <w:style w:type="character" w:styleId="1666">
    <w:name w:val="Quote Char"/>
    <w:basedOn w:val="1650"/>
    <w:link w:val="1665"/>
    <w:uiPriority w:val="29"/>
    <w:pPr>
      <w:pBdr/>
      <w:spacing/>
      <w:ind/>
    </w:pPr>
    <w:rPr>
      <w:i/>
      <w:iCs/>
      <w:color w:val="404040" w:themeColor="text1" w:themeTint="BF"/>
    </w:rPr>
  </w:style>
  <w:style w:type="paragraph" w:styleId="1667">
    <w:name w:val="List Paragraph"/>
    <w:basedOn w:val="1640"/>
    <w:uiPriority w:val="34"/>
    <w:qFormat/>
    <w:pPr>
      <w:pBdr/>
      <w:spacing/>
      <w:ind w:left="720"/>
      <w:contextualSpacing w:val="true"/>
    </w:pPr>
  </w:style>
  <w:style w:type="character" w:styleId="1668">
    <w:name w:val="Intense Emphasis"/>
    <w:basedOn w:val="1650"/>
    <w:uiPriority w:val="21"/>
    <w:qFormat/>
    <w:pPr>
      <w:pBdr/>
      <w:spacing/>
      <w:ind/>
    </w:pPr>
    <w:rPr>
      <w:i/>
      <w:iCs/>
      <w:color w:val="0f4761" w:themeColor="accent1" w:themeShade="BF"/>
    </w:rPr>
  </w:style>
  <w:style w:type="paragraph" w:styleId="1669">
    <w:name w:val="Intense Quote"/>
    <w:basedOn w:val="1640"/>
    <w:next w:val="1640"/>
    <w:link w:val="167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70">
    <w:name w:val="Intense Quote Char"/>
    <w:basedOn w:val="1650"/>
    <w:link w:val="1669"/>
    <w:uiPriority w:val="30"/>
    <w:pPr>
      <w:pBdr/>
      <w:spacing/>
      <w:ind/>
    </w:pPr>
    <w:rPr>
      <w:i/>
      <w:iCs/>
      <w:color w:val="0f4761" w:themeColor="accent1" w:themeShade="BF"/>
    </w:rPr>
  </w:style>
  <w:style w:type="character" w:styleId="1671">
    <w:name w:val="Intense Reference"/>
    <w:basedOn w:val="1650"/>
    <w:uiPriority w:val="32"/>
    <w:qFormat/>
    <w:pPr>
      <w:pBdr/>
      <w:spacing/>
      <w:ind/>
    </w:pPr>
    <w:rPr>
      <w:b/>
      <w:bCs/>
      <w:smallCaps/>
      <w:color w:val="0f4761" w:themeColor="accent1" w:themeShade="BF"/>
      <w:spacing w:val="5"/>
    </w:rPr>
  </w:style>
  <w:style w:type="paragraph" w:styleId="1672">
    <w:name w:val="No Spacing"/>
    <w:basedOn w:val="1640"/>
    <w:uiPriority w:val="1"/>
    <w:qFormat/>
    <w:pPr>
      <w:pBdr/>
      <w:spacing w:after="0" w:line="240" w:lineRule="auto"/>
      <w:ind/>
    </w:pPr>
  </w:style>
  <w:style w:type="character" w:styleId="1673">
    <w:name w:val="Subtle Emphasis"/>
    <w:basedOn w:val="1650"/>
    <w:uiPriority w:val="19"/>
    <w:qFormat/>
    <w:pPr>
      <w:pBdr/>
      <w:spacing/>
      <w:ind/>
    </w:pPr>
    <w:rPr>
      <w:i/>
      <w:iCs/>
      <w:color w:val="404040" w:themeColor="text1" w:themeTint="BF"/>
    </w:rPr>
  </w:style>
  <w:style w:type="character" w:styleId="1674">
    <w:name w:val="Emphasis"/>
    <w:basedOn w:val="1650"/>
    <w:uiPriority w:val="20"/>
    <w:qFormat/>
    <w:pPr>
      <w:pBdr/>
      <w:spacing/>
      <w:ind/>
    </w:pPr>
    <w:rPr>
      <w:i/>
      <w:iCs/>
    </w:rPr>
  </w:style>
  <w:style w:type="character" w:styleId="1675">
    <w:name w:val="Strong"/>
    <w:basedOn w:val="1650"/>
    <w:uiPriority w:val="22"/>
    <w:qFormat/>
    <w:pPr>
      <w:pBdr/>
      <w:spacing/>
      <w:ind/>
    </w:pPr>
    <w:rPr>
      <w:b/>
      <w:bCs/>
    </w:rPr>
  </w:style>
  <w:style w:type="character" w:styleId="1676">
    <w:name w:val="Subtle Reference"/>
    <w:basedOn w:val="1650"/>
    <w:uiPriority w:val="31"/>
    <w:qFormat/>
    <w:pPr>
      <w:pBdr/>
      <w:spacing/>
      <w:ind/>
    </w:pPr>
    <w:rPr>
      <w:smallCaps/>
      <w:color w:val="5a5a5a" w:themeColor="text1" w:themeTint="A5"/>
    </w:rPr>
  </w:style>
  <w:style w:type="character" w:styleId="1677">
    <w:name w:val="Book Title"/>
    <w:basedOn w:val="1650"/>
    <w:uiPriority w:val="33"/>
    <w:qFormat/>
    <w:pPr>
      <w:pBdr/>
      <w:spacing/>
      <w:ind/>
    </w:pPr>
    <w:rPr>
      <w:b/>
      <w:bCs/>
      <w:i/>
      <w:iCs/>
      <w:spacing w:val="5"/>
    </w:rPr>
  </w:style>
  <w:style w:type="paragraph" w:styleId="1678">
    <w:name w:val="Header"/>
    <w:basedOn w:val="1640"/>
    <w:link w:val="1679"/>
    <w:uiPriority w:val="99"/>
    <w:unhideWhenUsed/>
    <w:pPr>
      <w:pBdr/>
      <w:tabs>
        <w:tab w:val="center" w:leader="none" w:pos="4844"/>
        <w:tab w:val="right" w:leader="none" w:pos="9689"/>
      </w:tabs>
      <w:spacing w:after="0" w:line="240" w:lineRule="auto"/>
      <w:ind/>
    </w:pPr>
  </w:style>
  <w:style w:type="character" w:styleId="1679">
    <w:name w:val="Header Char"/>
    <w:basedOn w:val="1650"/>
    <w:link w:val="1678"/>
    <w:uiPriority w:val="99"/>
    <w:pPr>
      <w:pBdr/>
      <w:spacing/>
      <w:ind/>
    </w:pPr>
  </w:style>
  <w:style w:type="paragraph" w:styleId="1680">
    <w:name w:val="Footer"/>
    <w:basedOn w:val="1640"/>
    <w:link w:val="1681"/>
    <w:uiPriority w:val="99"/>
    <w:unhideWhenUsed/>
    <w:pPr>
      <w:pBdr/>
      <w:tabs>
        <w:tab w:val="center" w:leader="none" w:pos="4844"/>
        <w:tab w:val="right" w:leader="none" w:pos="9689"/>
      </w:tabs>
      <w:spacing w:after="0" w:line="240" w:lineRule="auto"/>
      <w:ind/>
    </w:pPr>
  </w:style>
  <w:style w:type="character" w:styleId="1681">
    <w:name w:val="Footer Char"/>
    <w:basedOn w:val="1650"/>
    <w:link w:val="1680"/>
    <w:uiPriority w:val="99"/>
    <w:pPr>
      <w:pBdr/>
      <w:spacing/>
      <w:ind/>
    </w:pPr>
  </w:style>
  <w:style w:type="paragraph" w:styleId="1682">
    <w:name w:val="Caption"/>
    <w:basedOn w:val="1640"/>
    <w:next w:val="1640"/>
    <w:uiPriority w:val="35"/>
    <w:unhideWhenUsed/>
    <w:qFormat/>
    <w:pPr>
      <w:pBdr/>
      <w:spacing w:after="200" w:line="240" w:lineRule="auto"/>
      <w:ind/>
    </w:pPr>
    <w:rPr>
      <w:i/>
      <w:iCs/>
      <w:color w:val="0e2841" w:themeColor="text2"/>
      <w:sz w:val="18"/>
      <w:szCs w:val="18"/>
    </w:rPr>
  </w:style>
  <w:style w:type="paragraph" w:styleId="1683">
    <w:name w:val="footnote text"/>
    <w:basedOn w:val="1640"/>
    <w:link w:val="1684"/>
    <w:uiPriority w:val="99"/>
    <w:semiHidden/>
    <w:unhideWhenUsed/>
    <w:pPr>
      <w:pBdr/>
      <w:spacing w:after="0" w:line="240" w:lineRule="auto"/>
      <w:ind/>
    </w:pPr>
    <w:rPr>
      <w:sz w:val="20"/>
      <w:szCs w:val="20"/>
    </w:rPr>
  </w:style>
  <w:style w:type="character" w:styleId="1684">
    <w:name w:val="Footnote Text Char"/>
    <w:basedOn w:val="1650"/>
    <w:link w:val="1683"/>
    <w:uiPriority w:val="99"/>
    <w:semiHidden/>
    <w:pPr>
      <w:pBdr/>
      <w:spacing/>
      <w:ind/>
    </w:pPr>
    <w:rPr>
      <w:sz w:val="20"/>
      <w:szCs w:val="20"/>
    </w:rPr>
  </w:style>
  <w:style w:type="character" w:styleId="1685">
    <w:name w:val="footnote reference"/>
    <w:basedOn w:val="1650"/>
    <w:uiPriority w:val="99"/>
    <w:semiHidden/>
    <w:unhideWhenUsed/>
    <w:pPr>
      <w:pBdr/>
      <w:spacing/>
      <w:ind/>
    </w:pPr>
    <w:rPr>
      <w:vertAlign w:val="superscript"/>
    </w:rPr>
  </w:style>
  <w:style w:type="paragraph" w:styleId="1686">
    <w:name w:val="endnote text"/>
    <w:basedOn w:val="1640"/>
    <w:link w:val="1687"/>
    <w:uiPriority w:val="99"/>
    <w:semiHidden/>
    <w:unhideWhenUsed/>
    <w:pPr>
      <w:pBdr/>
      <w:spacing w:after="0" w:line="240" w:lineRule="auto"/>
      <w:ind/>
    </w:pPr>
    <w:rPr>
      <w:sz w:val="20"/>
      <w:szCs w:val="20"/>
    </w:rPr>
  </w:style>
  <w:style w:type="character" w:styleId="1687">
    <w:name w:val="Endnote Text Char"/>
    <w:basedOn w:val="1650"/>
    <w:link w:val="1686"/>
    <w:uiPriority w:val="99"/>
    <w:semiHidden/>
    <w:pPr>
      <w:pBdr/>
      <w:spacing/>
      <w:ind/>
    </w:pPr>
    <w:rPr>
      <w:sz w:val="20"/>
      <w:szCs w:val="20"/>
    </w:rPr>
  </w:style>
  <w:style w:type="character" w:styleId="1688">
    <w:name w:val="endnote reference"/>
    <w:basedOn w:val="1650"/>
    <w:uiPriority w:val="99"/>
    <w:semiHidden/>
    <w:unhideWhenUsed/>
    <w:pPr>
      <w:pBdr/>
      <w:spacing/>
      <w:ind/>
    </w:pPr>
    <w:rPr>
      <w:vertAlign w:val="superscript"/>
    </w:rPr>
  </w:style>
  <w:style w:type="character" w:styleId="1689">
    <w:name w:val="Hyperlink"/>
    <w:basedOn w:val="1650"/>
    <w:uiPriority w:val="99"/>
    <w:unhideWhenUsed/>
    <w:pPr>
      <w:pBdr/>
      <w:spacing/>
      <w:ind/>
    </w:pPr>
    <w:rPr>
      <w:color w:val="0563c1" w:themeColor="hyperlink"/>
      <w:u w:val="single"/>
    </w:rPr>
  </w:style>
  <w:style w:type="character" w:styleId="1690">
    <w:name w:val="FollowedHyperlink"/>
    <w:basedOn w:val="1650"/>
    <w:uiPriority w:val="99"/>
    <w:semiHidden/>
    <w:unhideWhenUsed/>
    <w:pPr>
      <w:pBdr/>
      <w:spacing/>
      <w:ind/>
    </w:pPr>
    <w:rPr>
      <w:color w:val="954f72" w:themeColor="followedHyperlink"/>
      <w:u w:val="single"/>
    </w:rPr>
  </w:style>
  <w:style w:type="paragraph" w:styleId="1691">
    <w:name w:val="toc 1"/>
    <w:basedOn w:val="1640"/>
    <w:next w:val="1640"/>
    <w:uiPriority w:val="39"/>
    <w:unhideWhenUsed/>
    <w:pPr>
      <w:pBdr/>
      <w:spacing w:after="100"/>
      <w:ind/>
    </w:pPr>
  </w:style>
  <w:style w:type="paragraph" w:styleId="1692">
    <w:name w:val="toc 2"/>
    <w:basedOn w:val="1640"/>
    <w:next w:val="1640"/>
    <w:uiPriority w:val="39"/>
    <w:unhideWhenUsed/>
    <w:pPr>
      <w:pBdr/>
      <w:spacing w:after="100"/>
      <w:ind w:left="220"/>
    </w:pPr>
  </w:style>
  <w:style w:type="paragraph" w:styleId="1693">
    <w:name w:val="toc 3"/>
    <w:basedOn w:val="1640"/>
    <w:next w:val="1640"/>
    <w:uiPriority w:val="39"/>
    <w:unhideWhenUsed/>
    <w:pPr>
      <w:pBdr/>
      <w:spacing w:after="100"/>
      <w:ind w:left="440"/>
    </w:pPr>
  </w:style>
  <w:style w:type="paragraph" w:styleId="1694">
    <w:name w:val="toc 4"/>
    <w:basedOn w:val="1640"/>
    <w:next w:val="1640"/>
    <w:uiPriority w:val="39"/>
    <w:unhideWhenUsed/>
    <w:pPr>
      <w:pBdr/>
      <w:spacing w:after="100"/>
      <w:ind w:left="660"/>
    </w:pPr>
  </w:style>
  <w:style w:type="paragraph" w:styleId="1695">
    <w:name w:val="toc 5"/>
    <w:basedOn w:val="1640"/>
    <w:next w:val="1640"/>
    <w:uiPriority w:val="39"/>
    <w:unhideWhenUsed/>
    <w:pPr>
      <w:pBdr/>
      <w:spacing w:after="100"/>
      <w:ind w:left="880"/>
    </w:pPr>
  </w:style>
  <w:style w:type="paragraph" w:styleId="1696">
    <w:name w:val="toc 6"/>
    <w:basedOn w:val="1640"/>
    <w:next w:val="1640"/>
    <w:uiPriority w:val="39"/>
    <w:unhideWhenUsed/>
    <w:pPr>
      <w:pBdr/>
      <w:spacing w:after="100"/>
      <w:ind w:left="1100"/>
    </w:pPr>
  </w:style>
  <w:style w:type="paragraph" w:styleId="1697">
    <w:name w:val="toc 7"/>
    <w:basedOn w:val="1640"/>
    <w:next w:val="1640"/>
    <w:uiPriority w:val="39"/>
    <w:unhideWhenUsed/>
    <w:pPr>
      <w:pBdr/>
      <w:spacing w:after="100"/>
      <w:ind w:left="1320"/>
    </w:pPr>
  </w:style>
  <w:style w:type="paragraph" w:styleId="1698">
    <w:name w:val="toc 8"/>
    <w:basedOn w:val="1640"/>
    <w:next w:val="1640"/>
    <w:uiPriority w:val="39"/>
    <w:unhideWhenUsed/>
    <w:pPr>
      <w:pBdr/>
      <w:spacing w:after="100"/>
      <w:ind w:left="1540"/>
    </w:pPr>
  </w:style>
  <w:style w:type="paragraph" w:styleId="1699">
    <w:name w:val="toc 9"/>
    <w:basedOn w:val="1640"/>
    <w:next w:val="1640"/>
    <w:uiPriority w:val="39"/>
    <w:unhideWhenUsed/>
    <w:pPr>
      <w:pBdr/>
      <w:spacing w:after="100"/>
      <w:ind w:left="1760"/>
    </w:pPr>
  </w:style>
  <w:style w:type="character" w:styleId="1700">
    <w:name w:val="Placeholder Text"/>
    <w:basedOn w:val="1650"/>
    <w:uiPriority w:val="99"/>
    <w:semiHidden/>
    <w:pPr>
      <w:pBdr/>
      <w:spacing/>
      <w:ind/>
    </w:pPr>
    <w:rPr>
      <w:color w:val="666666"/>
    </w:rPr>
  </w:style>
  <w:style w:type="paragraph" w:styleId="1701">
    <w:name w:val="TOC Heading"/>
    <w:uiPriority w:val="39"/>
    <w:unhideWhenUsed/>
    <w:pPr>
      <w:pBdr/>
      <w:spacing/>
      <w:ind/>
    </w:pPr>
  </w:style>
  <w:style w:type="paragraph" w:styleId="1702">
    <w:name w:val="table of figures"/>
    <w:basedOn w:val="1640"/>
    <w:next w:val="1640"/>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6</cp:revision>
  <dcterms:modified xsi:type="dcterms:W3CDTF">2026-01-29T16:04:17Z</dcterms:modified>
</cp:coreProperties>
</file>