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252C" w:val="clear"/>
            <w:tcMar>
              <w:top w:type="dxa" w:w="220"/>
              <w:left w:type="dxa" w:w="240"/>
              <w:bottom w:type="dxa" w:w="220"/>
              <w:right w:type="dxa" w:w="240"/>
            </w:tcMar>
          </w:tcPr>
          <w:p>
            <w:pPr>
              <w:spacing w:after="40"/>
            </w:pPr>
            <w:r>
              <w:rPr>
                <w:rFonts w:ascii="Exo" w:cs="Exo" w:eastAsia="Exo" w:hAnsi="Exo"/>
                <w:b/>
                <w:bCs/>
                <w:color w:val="FFFFFF"/>
                <w:sz w:val="44"/>
                <w:szCs w:val="44"/>
              </w:rPr>
              <w:t xml:space="preserve">FESTIM Fellowship</w:t>
            </w:r>
          </w:p>
          <w:p>
            <w:pPr>
              <w:spacing w:after="60"/>
            </w:pPr>
            <w:r>
              <w:rPr>
                <w:rFonts w:ascii="Exo" w:cs="Exo" w:eastAsia="Exo" w:hAnsi="Exo"/>
                <w:color w:val="77CCF3"/>
                <w:sz w:val="28"/>
                <w:szCs w:val="28"/>
              </w:rPr>
              <w:t xml:space="preserve">Work Plan and Milestones</w:t>
            </w:r>
          </w:p>
          <w:p>
            <w:pPr>
              <w:spacing w:after="0"/>
            </w:pPr>
            <w:r>
              <w:rPr>
                <w:rFonts w:ascii="Arial" w:cs="Arial" w:eastAsia="Arial" w:hAnsi="Arial"/>
                <w:color w:val="48A0D8"/>
                <w:sz w:val="20"/>
                <w:szCs w:val="20"/>
              </w:rPr>
              <w:t xml:space="preserve">Emre Yildirim  |  Type One Energy  |  Summer 2026 Cohort</w:t>
            </w:r>
          </w:p>
        </w:tc>
      </w:tr>
    </w:tbl>
    <w:p>
      <w:pPr>
        <w:spacing w:after="280"/>
      </w:pPr>
    </w:p>
    <w:p>
      <w:pPr>
        <w:pStyle w:val="Heading1"/>
        <w:numPr>
          <w:ilvl w:val="0"/>
          <w:numId w:val="2"/>
        </w:numPr>
      </w:pPr>
      <w:r>
        <w:rPr>
          <w:rFonts w:ascii="Exo" w:cs="Exo" w:eastAsia="Exo" w:hAnsi="Exo"/>
          <w:b/>
          <w:bCs/>
        </w:rPr>
        <w:t xml:space="preserve">Fellowship Overview</w:t>
      </w:r>
    </w:p>
    <w:p>
      <w:pPr>
        <w:spacing w:after="120" w:line="276"/>
      </w:pPr>
      <w:r>
        <w:rPr>
          <w:rFonts w:ascii="Arial" w:cs="Arial" w:eastAsia="Arial" w:hAnsi="Arial"/>
          <w:b w:val="false"/>
          <w:bCs w:val="false"/>
          <w:i w:val="false"/>
          <w:iCs w:val="false"/>
          <w:color w:val="323235"/>
          <w:sz w:val="22"/>
          <w:szCs w:val="22"/>
        </w:rPr>
        <w:t xml:space="preserve">This document sets out the work plan for Emre Yildirim's participation in the FESTIM Fellowship, Summer 2026 cohort, hosted at the Plasma Science and Fusion Center (PSFC). The fellowship supports direct development needs for the Infinity II fusion power plant tritium extraction system (TES) at Type One Energy.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727275" w:sz="4"/>
              <w:left w:val="single" w:color="727275" w:sz="4"/>
              <w:bottom w:val="single" w:color="727275" w:sz="4"/>
              <w:right w:val="single" w:color="727275" w:sz="4"/>
            </w:tcBorders>
            <w:shd w:fill="3881C3" w:val="clear"/>
            <w:tcMar>
              <w:top w:type="dxa" w:w="100"/>
              <w:left w:type="dxa" w:w="140"/>
              <w:bottom w:type="dxa" w:w="100"/>
              <w:right w:type="dxa" w:w="140"/>
            </w:tcMar>
          </w:tcPr>
          <w:p>
            <w:r>
              <w:rPr>
                <w:rFonts w:ascii="Exo" w:cs="Exo" w:eastAsia="Exo" w:hAnsi="Exo"/>
                <w:b/>
                <w:bCs/>
                <w:color w:val="FFFFFF"/>
                <w:sz w:val="20"/>
                <w:szCs w:val="20"/>
              </w:rPr>
              <w:t xml:space="preserve">Parameter</w:t>
            </w:r>
          </w:p>
        </w:tc>
        <w:tc>
          <w:tcPr>
            <w:tcW w:type="dxa" w:w="6760"/>
            <w:tcBorders>
              <w:top w:val="single" w:color="727275" w:sz="4"/>
              <w:left w:val="single" w:color="727275" w:sz="4"/>
              <w:bottom w:val="single" w:color="727275" w:sz="4"/>
              <w:right w:val="single" w:color="727275" w:sz="4"/>
            </w:tcBorders>
            <w:shd w:fill="3881C3" w:val="clear"/>
            <w:tcMar>
              <w:top w:type="dxa" w:w="100"/>
              <w:left w:type="dxa" w:w="140"/>
              <w:bottom w:type="dxa" w:w="100"/>
              <w:right w:type="dxa" w:w="140"/>
            </w:tcMar>
          </w:tcPr>
          <w:p>
            <w:r>
              <w:rPr>
                <w:rFonts w:ascii="Exo" w:cs="Exo" w:eastAsia="Exo" w:hAnsi="Exo"/>
                <w:b/>
                <w:bCs/>
                <w:color w:val="FFFFFF"/>
                <w:sz w:val="20"/>
                <w:szCs w:val="20"/>
              </w:rPr>
              <w:t xml:space="preserve">Detail</w:t>
            </w:r>
          </w:p>
        </w:tc>
      </w:tr>
      <w:tr>
        <w:tc>
          <w:tcPr>
            <w:tcW w:type="dxa" w:w="260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Fellowship</w:t>
            </w:r>
          </w:p>
        </w:tc>
        <w:tc>
          <w:tcPr>
            <w:tcW w:type="dxa" w:w="676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FESTIM Fellowship -- Summer 2026 Cohort</w:t>
            </w:r>
          </w:p>
        </w:tc>
      </w:tr>
      <w:tr>
        <w:tc>
          <w:tcPr>
            <w:tcW w:type="dxa" w:w="260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Duration</w:t>
            </w:r>
          </w:p>
        </w:tc>
        <w:tc>
          <w:tcPr>
            <w:tcW w:type="dxa" w:w="676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10 weeks, beginning mid-June 2026</w:t>
            </w:r>
          </w:p>
        </w:tc>
      </w:tr>
      <w:tr>
        <w:tc>
          <w:tcPr>
            <w:tcW w:type="dxa" w:w="260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Engagement</w:t>
            </w:r>
          </w:p>
        </w:tc>
        <w:tc>
          <w:tcPr>
            <w:tcW w:type="dxa" w:w="676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50% (~20 hours/week effective), funded through Type One Energy</w:t>
            </w:r>
          </w:p>
        </w:tc>
      </w:tr>
      <w:tr>
        <w:tc>
          <w:tcPr>
            <w:tcW w:type="dxa" w:w="260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Location</w:t>
            </w:r>
          </w:p>
        </w:tc>
        <w:tc>
          <w:tcPr>
            <w:tcW w:type="dxa" w:w="676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Remote or hybrid (PSFC / Woburn, MA office)</w:t>
            </w:r>
          </w:p>
        </w:tc>
      </w:tr>
      <w:tr>
        <w:tc>
          <w:tcPr>
            <w:tcW w:type="dxa" w:w="260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Supervisor / Host</w:t>
            </w:r>
          </w:p>
        </w:tc>
        <w:tc>
          <w:tcPr>
            <w:tcW w:type="dxa" w:w="676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[FESTIM development team / PSFC supervisor -- to be confirmed]</w:t>
            </w:r>
          </w:p>
        </w:tc>
      </w:tr>
    </w:tbl>
    <w:p>
      <w:pPr>
        <w:spacing w:after="220"/>
      </w:pPr>
    </w:p>
    <w:p>
      <w:pPr>
        <w:pStyle w:val="Heading1"/>
        <w:numPr>
          <w:ilvl w:val="0"/>
          <w:numId w:val="2"/>
        </w:numPr>
      </w:pPr>
      <w:r>
        <w:rPr>
          <w:rFonts w:ascii="Exo" w:cs="Exo" w:eastAsia="Exo" w:hAnsi="Exo"/>
          <w:b/>
          <w:bCs/>
        </w:rPr>
        <w:t xml:space="preserve">Project Structure</w:t>
      </w:r>
    </w:p>
    <w:p>
      <w:pPr>
        <w:spacing w:after="120" w:line="276"/>
      </w:pPr>
      <w:r>
        <w:rPr>
          <w:rFonts w:ascii="Arial" w:cs="Arial" w:eastAsia="Arial" w:hAnsi="Arial"/>
          <w:b w:val="false"/>
          <w:bCs w:val="false"/>
          <w:i w:val="false"/>
          <w:iCs w:val="false"/>
          <w:color w:val="323235"/>
          <w:sz w:val="22"/>
          <w:szCs w:val="22"/>
        </w:rPr>
        <w:t xml:space="preserve">The fellowship project addresses the challenge of connecting pebble-scale tritium release physics to purge-loop system behaviour, and ultimately to plant-level fuel cycle models. The work is organised into two core stages and one conditional stretch stage, each generating direct value for Infinity II design decisions.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4320"/>
        <w:gridCol w:w="1600"/>
      </w:tblGrid>
      <w:tr>
        <w:trPr>
          <w:tblHeader/>
        </w:trPr>
        <w:tc>
          <w:tcPr>
            <w:tcW w:type="dxa" w:w="1440"/>
            <w:tcBorders>
              <w:top w:val="single" w:color="727275" w:sz="4"/>
              <w:left w:val="single" w:color="727275" w:sz="4"/>
              <w:bottom w:val="single" w:color="727275" w:sz="4"/>
              <w:right w:val="single" w:color="727275" w:sz="4"/>
            </w:tcBorders>
            <w:shd w:fill="3881C3" w:val="clear"/>
            <w:tcMar>
              <w:top w:type="dxa" w:w="100"/>
              <w:left w:type="dxa" w:w="140"/>
              <w:bottom w:type="dxa" w:w="100"/>
              <w:right w:type="dxa" w:w="140"/>
            </w:tcMar>
          </w:tcPr>
          <w:p>
            <w:r>
              <w:rPr>
                <w:rFonts w:ascii="Exo" w:cs="Exo" w:eastAsia="Exo" w:hAnsi="Exo"/>
                <w:b/>
                <w:bCs/>
                <w:color w:val="FFFFFF"/>
                <w:sz w:val="20"/>
                <w:szCs w:val="20"/>
              </w:rPr>
              <w:t xml:space="preserve">Stage</w:t>
            </w:r>
          </w:p>
        </w:tc>
        <w:tc>
          <w:tcPr>
            <w:tcW w:type="dxa" w:w="2000"/>
            <w:tcBorders>
              <w:top w:val="single" w:color="727275" w:sz="4"/>
              <w:left w:val="single" w:color="727275" w:sz="4"/>
              <w:bottom w:val="single" w:color="727275" w:sz="4"/>
              <w:right w:val="single" w:color="727275" w:sz="4"/>
            </w:tcBorders>
            <w:shd w:fill="3881C3" w:val="clear"/>
            <w:tcMar>
              <w:top w:type="dxa" w:w="100"/>
              <w:left w:type="dxa" w:w="140"/>
              <w:bottom w:type="dxa" w:w="100"/>
              <w:right w:type="dxa" w:w="140"/>
            </w:tcMar>
          </w:tcPr>
          <w:p>
            <w:r>
              <w:rPr>
                <w:rFonts w:ascii="Exo" w:cs="Exo" w:eastAsia="Exo" w:hAnsi="Exo"/>
                <w:b/>
                <w:bCs/>
                <w:color w:val="FFFFFF"/>
                <w:sz w:val="20"/>
                <w:szCs w:val="20"/>
              </w:rPr>
              <w:t xml:space="preserve">Weeks</w:t>
            </w:r>
          </w:p>
        </w:tc>
        <w:tc>
          <w:tcPr>
            <w:tcW w:type="dxa" w:w="4320"/>
            <w:tcBorders>
              <w:top w:val="single" w:color="727275" w:sz="4"/>
              <w:left w:val="single" w:color="727275" w:sz="4"/>
              <w:bottom w:val="single" w:color="727275" w:sz="4"/>
              <w:right w:val="single" w:color="727275" w:sz="4"/>
            </w:tcBorders>
            <w:shd w:fill="3881C3" w:val="clear"/>
            <w:tcMar>
              <w:top w:type="dxa" w:w="100"/>
              <w:left w:type="dxa" w:w="140"/>
              <w:bottom w:type="dxa" w:w="100"/>
              <w:right w:type="dxa" w:w="140"/>
            </w:tcMar>
          </w:tcPr>
          <w:p>
            <w:r>
              <w:rPr>
                <w:rFonts w:ascii="Exo" w:cs="Exo" w:eastAsia="Exo" w:hAnsi="Exo"/>
                <w:b/>
                <w:bCs/>
                <w:color w:val="FFFFFF"/>
                <w:sz w:val="20"/>
                <w:szCs w:val="20"/>
              </w:rPr>
              <w:t xml:space="preserve">Focus</w:t>
            </w:r>
          </w:p>
        </w:tc>
        <w:tc>
          <w:tcPr>
            <w:tcW w:type="dxa" w:w="1600"/>
            <w:tcBorders>
              <w:top w:val="single" w:color="727275" w:sz="4"/>
              <w:left w:val="single" w:color="727275" w:sz="4"/>
              <w:bottom w:val="single" w:color="727275" w:sz="4"/>
              <w:right w:val="single" w:color="727275" w:sz="4"/>
            </w:tcBorders>
            <w:shd w:fill="3881C3" w:val="clear"/>
            <w:tcMar>
              <w:top w:type="dxa" w:w="100"/>
              <w:left w:type="dxa" w:w="140"/>
              <w:bottom w:type="dxa" w:w="100"/>
              <w:right w:type="dxa" w:w="140"/>
            </w:tcMar>
          </w:tcPr>
          <w:p>
            <w:r>
              <w:rPr>
                <w:rFonts w:ascii="Exo" w:cs="Exo" w:eastAsia="Exo" w:hAnsi="Exo"/>
                <w:b/>
                <w:bCs/>
                <w:color w:val="FFFFFF"/>
                <w:sz w:val="20"/>
                <w:szCs w:val="20"/>
              </w:rPr>
              <w:t xml:space="preserve">Status</w:t>
            </w:r>
          </w:p>
        </w:tc>
      </w:tr>
      <w:tr>
        <w:tc>
          <w:tcPr>
            <w:tcW w:type="dxa" w:w="144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Stage 1</w:t>
            </w:r>
          </w:p>
        </w:tc>
        <w:tc>
          <w:tcPr>
            <w:tcW w:type="dxa" w:w="200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1-4</w:t>
            </w:r>
          </w:p>
        </w:tc>
        <w:tc>
          <w:tcPr>
            <w:tcW w:type="dxa" w:w="432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Pebble Model Refinement -- validated, reproducible FESTIM model of tritium release from lithium ceramics</w:t>
            </w:r>
          </w:p>
        </w:tc>
        <w:tc>
          <w:tcPr>
            <w:tcW w:type="dxa" w:w="160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Core</w:t>
            </w:r>
          </w:p>
        </w:tc>
      </w:tr>
      <w:tr>
        <w:tc>
          <w:tcPr>
            <w:tcW w:type="dxa" w:w="144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Stage 2</w:t>
            </w:r>
          </w:p>
        </w:tc>
        <w:tc>
          <w:tcPr>
            <w:tcW w:type="dxa" w:w="200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5-8</w:t>
            </w:r>
          </w:p>
        </w:tc>
        <w:tc>
          <w:tcPr>
            <w:tcW w:type="dxa" w:w="432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Helium Purge Loop System Model -- system-level TES model integrating pebble outputs into purge loop behaviour</w:t>
            </w:r>
          </w:p>
        </w:tc>
        <w:tc>
          <w:tcPr>
            <w:tcW w:type="dxa" w:w="160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Core</w:t>
            </w:r>
          </w:p>
        </w:tc>
      </w:tr>
      <w:tr>
        <w:tc>
          <w:tcPr>
            <w:tcW w:type="dxa" w:w="1440"/>
            <w:tcBorders>
              <w:top w:val="single" w:color="727275" w:sz="4"/>
              <w:left w:val="single" w:color="727275" w:sz="4"/>
              <w:bottom w:val="single" w:color="727275" w:sz="4"/>
              <w:right w:val="single" w:color="727275" w:sz="4"/>
            </w:tcBorders>
            <w:shd w:fill="FC9D06" w:val="clear"/>
            <w:tcMar>
              <w:top w:type="dxa" w:w="100"/>
              <w:left w:type="dxa" w:w="140"/>
              <w:bottom w:type="dxa" w:w="100"/>
              <w:right w:type="dxa" w:w="140"/>
            </w:tcMar>
          </w:tcPr>
          <w:p>
            <w:r>
              <w:rPr>
                <w:rFonts w:ascii="Arial" w:cs="Arial" w:eastAsia="Arial" w:hAnsi="Arial"/>
                <w:color w:val="26252C"/>
                <w:sz w:val="20"/>
                <w:szCs w:val="20"/>
              </w:rPr>
              <w:t xml:space="preserve">Stage 3</w:t>
            </w:r>
          </w:p>
        </w:tc>
        <w:tc>
          <w:tcPr>
            <w:tcW w:type="dxa" w:w="2000"/>
            <w:tcBorders>
              <w:top w:val="single" w:color="727275" w:sz="4"/>
              <w:left w:val="single" w:color="727275" w:sz="4"/>
              <w:bottom w:val="single" w:color="727275" w:sz="4"/>
              <w:right w:val="single" w:color="727275" w:sz="4"/>
            </w:tcBorders>
            <w:shd w:fill="FC9D06" w:val="clear"/>
            <w:tcMar>
              <w:top w:type="dxa" w:w="100"/>
              <w:left w:type="dxa" w:w="140"/>
              <w:bottom w:type="dxa" w:w="100"/>
              <w:right w:type="dxa" w:w="140"/>
            </w:tcMar>
          </w:tcPr>
          <w:p>
            <w:r>
              <w:rPr>
                <w:rFonts w:ascii="Arial" w:cs="Arial" w:eastAsia="Arial" w:hAnsi="Arial"/>
                <w:color w:val="26252C"/>
                <w:sz w:val="20"/>
                <w:szCs w:val="20"/>
              </w:rPr>
              <w:t xml:space="preserve">9-10 (conditional)</w:t>
            </w:r>
          </w:p>
        </w:tc>
        <w:tc>
          <w:tcPr>
            <w:tcW w:type="dxa" w:w="4320"/>
            <w:tcBorders>
              <w:top w:val="single" w:color="727275" w:sz="4"/>
              <w:left w:val="single" w:color="727275" w:sz="4"/>
              <w:bottom w:val="single" w:color="727275" w:sz="4"/>
              <w:right w:val="single" w:color="727275" w:sz="4"/>
            </w:tcBorders>
            <w:shd w:fill="FC9D06" w:val="clear"/>
            <w:tcMar>
              <w:top w:type="dxa" w:w="100"/>
              <w:left w:type="dxa" w:w="140"/>
              <w:bottom w:type="dxa" w:w="100"/>
              <w:right w:type="dxa" w:w="140"/>
            </w:tcMar>
          </w:tcPr>
          <w:p>
            <w:r>
              <w:rPr>
                <w:rFonts w:ascii="Arial" w:cs="Arial" w:eastAsia="Arial" w:hAnsi="Arial"/>
                <w:color w:val="26252C"/>
                <w:sz w:val="20"/>
                <w:szCs w:val="20"/>
              </w:rPr>
              <w:t xml:space="preserve">Plant-Scale Surrogate -- reduced-order model for integration into PathSim/FactorySim fuel cycle frameworks</w:t>
            </w:r>
          </w:p>
        </w:tc>
        <w:tc>
          <w:tcPr>
            <w:tcW w:type="dxa" w:w="1600"/>
            <w:tcBorders>
              <w:top w:val="single" w:color="727275" w:sz="4"/>
              <w:left w:val="single" w:color="727275" w:sz="4"/>
              <w:bottom w:val="single" w:color="727275" w:sz="4"/>
              <w:right w:val="single" w:color="727275" w:sz="4"/>
            </w:tcBorders>
            <w:shd w:fill="FC9D06" w:val="clear"/>
            <w:tcMar>
              <w:top w:type="dxa" w:w="100"/>
              <w:left w:type="dxa" w:w="140"/>
              <w:bottom w:type="dxa" w:w="100"/>
              <w:right w:type="dxa" w:w="140"/>
            </w:tcMar>
          </w:tcPr>
          <w:p>
            <w:r>
              <w:rPr>
                <w:rFonts w:ascii="Arial" w:cs="Arial" w:eastAsia="Arial" w:hAnsi="Arial"/>
                <w:color w:val="26252C"/>
                <w:sz w:val="20"/>
                <w:szCs w:val="20"/>
              </w:rPr>
              <w:t xml:space="preserve">Stretch only</w:t>
            </w:r>
          </w:p>
        </w:tc>
      </w:tr>
    </w:tbl>
    <w:p>
      <w:pPr>
        <w:spacing w:after="220"/>
      </w:pPr>
    </w:p>
    <w:p>
      <w:pPr>
        <w:pStyle w:val="Heading1"/>
        <w:numPr>
          <w:ilvl w:val="0"/>
          <w:numId w:val="2"/>
        </w:numPr>
      </w:pPr>
      <w:r>
        <w:rPr>
          <w:rFonts w:ascii="Exo" w:cs="Exo" w:eastAsia="Exo" w:hAnsi="Exo"/>
          <w:b/>
          <w:bCs/>
        </w:rPr>
        <w:t xml:space="preserve">Stage 1 -- Pebble Model Refinement (Weeks 1-4)</w:t>
      </w:r>
    </w:p>
    <w:p>
      <w:pPr>
        <w:spacing w:after="120" w:line="276"/>
      </w:pPr>
      <w:r>
        <w:rPr>
          <w:rFonts w:ascii="Arial" w:cs="Arial" w:eastAsia="Arial" w:hAnsi="Arial"/>
          <w:b w:val="false"/>
          <w:bCs w:val="false"/>
          <w:i w:val="false"/>
          <w:iCs w:val="false"/>
          <w:color w:val="323235"/>
          <w:sz w:val="22"/>
          <w:szCs w:val="22"/>
        </w:rPr>
        <w:t xml:space="preserve">The goal of Stage 1 is to produce a robust, reproducible FESTIM model of tritium release from lithium ceramics that accurately captures transient tritium inventory and release rate as a function of temperature, sweep gas conditions, and irradiation history. The model will be benchmarked against published experimental data and structured to receive Type One Energy hydrogen laboratory data when it becomes available.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4200"/>
        <w:gridCol w:w="2160"/>
      </w:tblGrid>
      <w:tr>
        <w:trPr>
          <w:tblHeader/>
        </w:trPr>
        <w:tc>
          <w:tcPr>
            <w:tcW w:type="dxa" w:w="900"/>
            <w:tcBorders>
              <w:top w:val="single" w:color="727275" w:sz="4"/>
              <w:left w:val="single" w:color="727275" w:sz="4"/>
              <w:bottom w:val="single" w:color="727275" w:sz="4"/>
              <w:right w:val="single" w:color="727275" w:sz="4"/>
            </w:tcBorders>
            <w:shd w:fill="3881C3" w:val="clear"/>
            <w:tcMar>
              <w:top w:type="dxa" w:w="100"/>
              <w:left w:type="dxa" w:w="140"/>
              <w:bottom w:type="dxa" w:w="100"/>
              <w:right w:type="dxa" w:w="140"/>
            </w:tcMar>
          </w:tcPr>
          <w:p>
            <w:r>
              <w:rPr>
                <w:rFonts w:ascii="Exo" w:cs="Exo" w:eastAsia="Exo" w:hAnsi="Exo"/>
                <w:b/>
                <w:bCs/>
                <w:color w:val="FFFFFF"/>
                <w:sz w:val="20"/>
                <w:szCs w:val="20"/>
              </w:rPr>
              <w:t xml:space="preserve">Week</w:t>
            </w:r>
          </w:p>
        </w:tc>
        <w:tc>
          <w:tcPr>
            <w:tcW w:type="dxa" w:w="2100"/>
            <w:tcBorders>
              <w:top w:val="single" w:color="727275" w:sz="4"/>
              <w:left w:val="single" w:color="727275" w:sz="4"/>
              <w:bottom w:val="single" w:color="727275" w:sz="4"/>
              <w:right w:val="single" w:color="727275" w:sz="4"/>
            </w:tcBorders>
            <w:shd w:fill="3881C3" w:val="clear"/>
            <w:tcMar>
              <w:top w:type="dxa" w:w="100"/>
              <w:left w:type="dxa" w:w="140"/>
              <w:bottom w:type="dxa" w:w="100"/>
              <w:right w:type="dxa" w:w="140"/>
            </w:tcMar>
          </w:tcPr>
          <w:p>
            <w:r>
              <w:rPr>
                <w:rFonts w:ascii="Exo" w:cs="Exo" w:eastAsia="Exo" w:hAnsi="Exo"/>
                <w:b/>
                <w:bCs/>
                <w:color w:val="FFFFFF"/>
                <w:sz w:val="20"/>
                <w:szCs w:val="20"/>
              </w:rPr>
              <w:t xml:space="preserve">Theme</w:t>
            </w:r>
          </w:p>
        </w:tc>
        <w:tc>
          <w:tcPr>
            <w:tcW w:type="dxa" w:w="4200"/>
            <w:tcBorders>
              <w:top w:val="single" w:color="727275" w:sz="4"/>
              <w:left w:val="single" w:color="727275" w:sz="4"/>
              <w:bottom w:val="single" w:color="727275" w:sz="4"/>
              <w:right w:val="single" w:color="727275" w:sz="4"/>
            </w:tcBorders>
            <w:shd w:fill="3881C3" w:val="clear"/>
            <w:tcMar>
              <w:top w:type="dxa" w:w="100"/>
              <w:left w:type="dxa" w:w="140"/>
              <w:bottom w:type="dxa" w:w="100"/>
              <w:right w:type="dxa" w:w="140"/>
            </w:tcMar>
          </w:tcPr>
          <w:p>
            <w:r>
              <w:rPr>
                <w:rFonts w:ascii="Exo" w:cs="Exo" w:eastAsia="Exo" w:hAnsi="Exo"/>
                <w:b/>
                <w:bCs/>
                <w:color w:val="FFFFFF"/>
                <w:sz w:val="20"/>
                <w:szCs w:val="20"/>
              </w:rPr>
              <w:t xml:space="preserve">Key Activities</w:t>
            </w:r>
          </w:p>
        </w:tc>
        <w:tc>
          <w:tcPr>
            <w:tcW w:type="dxa" w:w="2160"/>
            <w:tcBorders>
              <w:top w:val="single" w:color="727275" w:sz="4"/>
              <w:left w:val="single" w:color="727275" w:sz="4"/>
              <w:bottom w:val="single" w:color="727275" w:sz="4"/>
              <w:right w:val="single" w:color="727275" w:sz="4"/>
            </w:tcBorders>
            <w:shd w:fill="3881C3" w:val="clear"/>
            <w:tcMar>
              <w:top w:type="dxa" w:w="100"/>
              <w:left w:type="dxa" w:w="140"/>
              <w:bottom w:type="dxa" w:w="100"/>
              <w:right w:type="dxa" w:w="140"/>
            </w:tcMar>
          </w:tcPr>
          <w:p>
            <w:r>
              <w:rPr>
                <w:rFonts w:ascii="Exo" w:cs="Exo" w:eastAsia="Exo" w:hAnsi="Exo"/>
                <w:b/>
                <w:bCs/>
                <w:color w:val="FFFFFF"/>
                <w:sz w:val="20"/>
                <w:szCs w:val="20"/>
              </w:rPr>
              <w:t xml:space="preserve">Outcome</w:t>
            </w:r>
          </w:p>
        </w:tc>
      </w:tr>
      <w:tr>
        <w:tc>
          <w:tcPr>
            <w:tcW w:type="dxa" w:w="90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1</w:t>
            </w:r>
          </w:p>
        </w:tc>
        <w:tc>
          <w:tcPr>
            <w:tcW w:type="dxa" w:w="210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Model Audit and Onboarding</w:t>
            </w:r>
          </w:p>
        </w:tc>
        <w:tc>
          <w:tcPr>
            <w:tcW w:type="dxa" w:w="420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Review existing pebble model against FESTIM best practices. Identify parameter gaps. Establish reproducibility standards: version control, run configuration, output structure. Initial engagement with FESTIM development team.</w:t>
            </w:r>
          </w:p>
        </w:tc>
        <w:tc>
          <w:tcPr>
            <w:tcW w:type="dxa" w:w="216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Documented model audit; parameter gap list; reproducibility baseline established</w:t>
            </w:r>
          </w:p>
        </w:tc>
      </w:tr>
      <w:tr>
        <w:tc>
          <w:tcPr>
            <w:tcW w:type="dxa" w:w="90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2</w:t>
            </w:r>
          </w:p>
        </w:tc>
        <w:tc>
          <w:tcPr>
            <w:tcW w:type="dxa" w:w="210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Physics Refinement</w:t>
            </w:r>
          </w:p>
        </w:tc>
        <w:tc>
          <w:tcPr>
            <w:tcW w:type="dxa" w:w="420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Refine temperature-dependent transport parameters. Improve sweep gas condition sensitivity. Incorporate irradiation history effects. Work with the team on best-practice parameterisation approaches.</w:t>
            </w:r>
          </w:p>
        </w:tc>
        <w:tc>
          <w:tcPr>
            <w:tcW w:type="dxa" w:w="216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Updated model with improved physics fidelity; parameters documented with sources and confidence levels</w:t>
            </w:r>
          </w:p>
        </w:tc>
      </w:tr>
      <w:tr>
        <w:tc>
          <w:tcPr>
            <w:tcW w:type="dxa" w:w="90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3</w:t>
            </w:r>
          </w:p>
        </w:tc>
        <w:tc>
          <w:tcPr>
            <w:tcW w:type="dxa" w:w="210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Uncertainty and Experimental Coupling</w:t>
            </w:r>
          </w:p>
        </w:tc>
        <w:tc>
          <w:tcPr>
            <w:tcW w:type="dxa" w:w="420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Apply team-recommended uncertainty handling approaches. Structure model outputs for comparison against measured data. Align output formats with H2 laboratory rig data. Review LIBRA experimental setup experience.</w:t>
            </w:r>
          </w:p>
        </w:tc>
        <w:tc>
          <w:tcPr>
            <w:tcW w:type="dxa" w:w="216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Uncertainty framework in place; model structured and ready to receive experimental data when available</w:t>
            </w:r>
          </w:p>
        </w:tc>
      </w:tr>
      <w:tr>
        <w:tc>
          <w:tcPr>
            <w:tcW w:type="dxa" w:w="90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4</w:t>
            </w:r>
          </w:p>
        </w:tc>
        <w:tc>
          <w:tcPr>
            <w:tcW w:type="dxa" w:w="210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Benchmarking and Stage 1 Sign-off</w:t>
            </w:r>
          </w:p>
        </w:tc>
        <w:tc>
          <w:tcPr>
            <w:tcW w:type="dxa" w:w="420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Benchmark against published lithium ceramic release data (EXOTIC, ALICE or equivalent, as identified with the FESTIM team). Document validation status and remaining gaps.</w:t>
            </w:r>
          </w:p>
        </w:tc>
        <w:tc>
          <w:tcPr>
            <w:tcW w:type="dxa" w:w="216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Benchmarked pebble-scale FESTIM model; benchmarking report; Stage 1 deliverable complete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8A0D8" w:sz="24"/>
              <w:bottom w:val="none" w:color="FFFFFF" w:sz="0"/>
              <w:right w:val="none" w:color="FFFFFF" w:sz="0"/>
            </w:tcBorders>
            <w:shd w:fill="EBF6FD" w:val="clear"/>
            <w:tcMar>
              <w:top w:type="dxa" w:w="100"/>
              <w:left w:type="dxa" w:w="220"/>
              <w:bottom w:type="dxa" w:w="100"/>
              <w:right w:type="dxa" w:w="140"/>
            </w:tcMar>
          </w:tcPr>
          <w:p>
            <w:pPr>
              <w:spacing w:after="80"/>
            </w:pPr>
            <w:r>
              <w:rPr>
                <w:rFonts w:ascii="Exo" w:cs="Exo" w:eastAsia="Exo" w:hAnsi="Exo"/>
                <w:b/>
                <w:bCs/>
                <w:color w:val="3881C3"/>
                <w:sz w:val="22"/>
                <w:szCs w:val="22"/>
              </w:rPr>
              <w:t xml:space="preserve">Stage 1 Outcome</w:t>
            </w:r>
          </w:p>
          <w:p>
            <w:pPr>
              <w:spacing w:after="0"/>
            </w:pPr>
            <w:r>
              <w:rPr>
                <w:rFonts w:ascii="Arial" w:cs="Arial" w:eastAsia="Arial" w:hAnsi="Arial"/>
                <w:color w:val="323235"/>
                <w:sz w:val="20"/>
                <w:szCs w:val="20"/>
              </w:rPr>
              <w:t xml:space="preserve">A benchmarked, reproducible pebble-scale FESTIM model with a documented uncertainty framework. The model is structured to receive Type One Energy hydrogen laboratory data with minimal re-engineering. Primary deliverable is a benchmarking report against published lithium ceramic release data.</w:t>
            </w:r>
          </w:p>
        </w:tc>
      </w:tr>
    </w:tbl>
    <w:p>
      <w:pPr>
        <w:spacing w:after="220"/>
      </w:pPr>
    </w:p>
    <w:p>
      <w:pPr>
        <w:pStyle w:val="Heading1"/>
        <w:numPr>
          <w:ilvl w:val="0"/>
          <w:numId w:val="2"/>
        </w:numPr>
      </w:pPr>
      <w:r>
        <w:rPr>
          <w:rFonts w:ascii="Exo" w:cs="Exo" w:eastAsia="Exo" w:hAnsi="Exo"/>
          <w:b/>
          <w:bCs/>
        </w:rPr>
        <w:t xml:space="preserve">Stage 2 -- Helium Purge Loop System Model (Weeks 5-8)</w:t>
      </w:r>
    </w:p>
    <w:p>
      <w:pPr>
        <w:spacing w:after="120" w:line="276"/>
      </w:pPr>
      <w:r>
        <w:rPr>
          <w:rFonts w:ascii="Arial" w:cs="Arial" w:eastAsia="Arial" w:hAnsi="Arial"/>
          <w:b w:val="false"/>
          <w:bCs w:val="false"/>
          <w:i w:val="false"/>
          <w:iCs w:val="false"/>
          <w:color w:val="323235"/>
          <w:sz w:val="22"/>
          <w:szCs w:val="22"/>
        </w:rPr>
        <w:t xml:space="preserve">Stage 2 integrates pebble model outputs into a system-level model of the helium purge loop TES. The model uses a conventional sweep gas circuit with getter bed extraction as a starting basis, developing the skills and architecture needed for the more commercially sensitive systems under development at Type One Energy. Results feed directly into Infinity II TES design trade studies.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4200"/>
        <w:gridCol w:w="2160"/>
      </w:tblGrid>
      <w:tr>
        <w:trPr>
          <w:tblHeader/>
        </w:trPr>
        <w:tc>
          <w:tcPr>
            <w:tcW w:type="dxa" w:w="900"/>
            <w:tcBorders>
              <w:top w:val="single" w:color="727275" w:sz="4"/>
              <w:left w:val="single" w:color="727275" w:sz="4"/>
              <w:bottom w:val="single" w:color="727275" w:sz="4"/>
              <w:right w:val="single" w:color="727275" w:sz="4"/>
            </w:tcBorders>
            <w:shd w:fill="3881C3" w:val="clear"/>
            <w:tcMar>
              <w:top w:type="dxa" w:w="100"/>
              <w:left w:type="dxa" w:w="140"/>
              <w:bottom w:type="dxa" w:w="100"/>
              <w:right w:type="dxa" w:w="140"/>
            </w:tcMar>
          </w:tcPr>
          <w:p>
            <w:r>
              <w:rPr>
                <w:rFonts w:ascii="Exo" w:cs="Exo" w:eastAsia="Exo" w:hAnsi="Exo"/>
                <w:b/>
                <w:bCs/>
                <w:color w:val="FFFFFF"/>
                <w:sz w:val="20"/>
                <w:szCs w:val="20"/>
              </w:rPr>
              <w:t xml:space="preserve">Week</w:t>
            </w:r>
          </w:p>
        </w:tc>
        <w:tc>
          <w:tcPr>
            <w:tcW w:type="dxa" w:w="2100"/>
            <w:tcBorders>
              <w:top w:val="single" w:color="727275" w:sz="4"/>
              <w:left w:val="single" w:color="727275" w:sz="4"/>
              <w:bottom w:val="single" w:color="727275" w:sz="4"/>
              <w:right w:val="single" w:color="727275" w:sz="4"/>
            </w:tcBorders>
            <w:shd w:fill="3881C3" w:val="clear"/>
            <w:tcMar>
              <w:top w:type="dxa" w:w="100"/>
              <w:left w:type="dxa" w:w="140"/>
              <w:bottom w:type="dxa" w:w="100"/>
              <w:right w:type="dxa" w:w="140"/>
            </w:tcMar>
          </w:tcPr>
          <w:p>
            <w:r>
              <w:rPr>
                <w:rFonts w:ascii="Exo" w:cs="Exo" w:eastAsia="Exo" w:hAnsi="Exo"/>
                <w:b/>
                <w:bCs/>
                <w:color w:val="FFFFFF"/>
                <w:sz w:val="20"/>
                <w:szCs w:val="20"/>
              </w:rPr>
              <w:t xml:space="preserve">Theme</w:t>
            </w:r>
          </w:p>
        </w:tc>
        <w:tc>
          <w:tcPr>
            <w:tcW w:type="dxa" w:w="4200"/>
            <w:tcBorders>
              <w:top w:val="single" w:color="727275" w:sz="4"/>
              <w:left w:val="single" w:color="727275" w:sz="4"/>
              <w:bottom w:val="single" w:color="727275" w:sz="4"/>
              <w:right w:val="single" w:color="727275" w:sz="4"/>
            </w:tcBorders>
            <w:shd w:fill="3881C3" w:val="clear"/>
            <w:tcMar>
              <w:top w:type="dxa" w:w="100"/>
              <w:left w:type="dxa" w:w="140"/>
              <w:bottom w:type="dxa" w:w="100"/>
              <w:right w:type="dxa" w:w="140"/>
            </w:tcMar>
          </w:tcPr>
          <w:p>
            <w:r>
              <w:rPr>
                <w:rFonts w:ascii="Exo" w:cs="Exo" w:eastAsia="Exo" w:hAnsi="Exo"/>
                <w:b/>
                <w:bCs/>
                <w:color w:val="FFFFFF"/>
                <w:sz w:val="20"/>
                <w:szCs w:val="20"/>
              </w:rPr>
              <w:t xml:space="preserve">Key Activities</w:t>
            </w:r>
          </w:p>
        </w:tc>
        <w:tc>
          <w:tcPr>
            <w:tcW w:type="dxa" w:w="2160"/>
            <w:tcBorders>
              <w:top w:val="single" w:color="727275" w:sz="4"/>
              <w:left w:val="single" w:color="727275" w:sz="4"/>
              <w:bottom w:val="single" w:color="727275" w:sz="4"/>
              <w:right w:val="single" w:color="727275" w:sz="4"/>
            </w:tcBorders>
            <w:shd w:fill="3881C3" w:val="clear"/>
            <w:tcMar>
              <w:top w:type="dxa" w:w="100"/>
              <w:left w:type="dxa" w:w="140"/>
              <w:bottom w:type="dxa" w:w="100"/>
              <w:right w:type="dxa" w:w="140"/>
            </w:tcMar>
          </w:tcPr>
          <w:p>
            <w:r>
              <w:rPr>
                <w:rFonts w:ascii="Exo" w:cs="Exo" w:eastAsia="Exo" w:hAnsi="Exo"/>
                <w:b/>
                <w:bCs/>
                <w:color w:val="FFFFFF"/>
                <w:sz w:val="20"/>
                <w:szCs w:val="20"/>
              </w:rPr>
              <w:t xml:space="preserve">Outcome</w:t>
            </w:r>
          </w:p>
        </w:tc>
      </w:tr>
      <w:tr>
        <w:tc>
          <w:tcPr>
            <w:tcW w:type="dxa" w:w="90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5</w:t>
            </w:r>
          </w:p>
        </w:tc>
        <w:tc>
          <w:tcPr>
            <w:tcW w:type="dxa" w:w="210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Architecture and Setup</w:t>
            </w:r>
          </w:p>
        </w:tc>
        <w:tc>
          <w:tcPr>
            <w:tcW w:type="dxa" w:w="420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Design helium purge loop model structure. Understand FESTIM best practice for multi-component system-scale simulations. Define purge loop geometry and component definitions.</w:t>
            </w:r>
          </w:p>
        </w:tc>
        <w:tc>
          <w:tcPr>
            <w:tcW w:type="dxa" w:w="216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Purge loop architecture documented; FESTIM system model scaffolding in place</w:t>
            </w:r>
          </w:p>
        </w:tc>
      </w:tr>
      <w:tr>
        <w:tc>
          <w:tcPr>
            <w:tcW w:type="dxa" w:w="90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6</w:t>
            </w:r>
          </w:p>
        </w:tc>
        <w:tc>
          <w:tcPr>
            <w:tcW w:type="dxa" w:w="210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Core Model Build</w:t>
            </w:r>
          </w:p>
        </w:tc>
        <w:tc>
          <w:tcPr>
            <w:tcW w:type="dxa" w:w="420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Implement conventional sweep gas circuit with getter bed extraction. Model tritium partial pressure evolution along purge loop. Initial extraction efficiency characterisation.</w:t>
            </w:r>
          </w:p>
        </w:tc>
        <w:tc>
          <w:tcPr>
            <w:tcW w:type="dxa" w:w="216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Working purge loop model; baseline tritium partial pressure profiles generated</w:t>
            </w:r>
          </w:p>
        </w:tc>
      </w:tr>
      <w:tr>
        <w:tc>
          <w:tcPr>
            <w:tcW w:type="dxa" w:w="90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7</w:t>
            </w:r>
          </w:p>
        </w:tc>
        <w:tc>
          <w:tcPr>
            <w:tcW w:type="dxa" w:w="210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Sensitivity and Operating Conditions</w:t>
            </w:r>
          </w:p>
        </w:tc>
        <w:tc>
          <w:tcPr>
            <w:tcW w:type="dxa" w:w="420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Parametric study of extraction efficiency vs. operating conditions. Assess effects of pebble bed packing and network geometry on bulk release behaviour.</w:t>
            </w:r>
          </w:p>
        </w:tc>
        <w:tc>
          <w:tcPr>
            <w:tcW w:type="dxa" w:w="216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Sensitivity results; identification of key design levers for TES operating conditions</w:t>
            </w:r>
          </w:p>
        </w:tc>
      </w:tr>
      <w:tr>
        <w:tc>
          <w:tcPr>
            <w:tcW w:type="dxa" w:w="90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8</w:t>
            </w:r>
          </w:p>
        </w:tc>
        <w:tc>
          <w:tcPr>
            <w:tcW w:type="dxa" w:w="210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Cycling Simulations and Stage 2 Sign-off</w:t>
            </w:r>
          </w:p>
        </w:tc>
        <w:tc>
          <w:tcPr>
            <w:tcW w:type="dxa" w:w="420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Run transient cycling simulations to assess pebble performance under load-following conditions. Package results for Infinity II TES design trade studies.</w:t>
            </w:r>
          </w:p>
        </w:tc>
        <w:tc>
          <w:tcPr>
            <w:tcW w:type="dxa" w:w="216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Cycling simulation results; Stage 2 deliverable packaged for the Infinity II design team</w:t>
            </w:r>
          </w:p>
        </w:tc>
      </w:tr>
    </w:tbl>
    <w:p>
      <w:pPr>
        <w:spacing w:after="160"/>
      </w:pPr>
    </w:p>
    <w:p>
      <w:pPr>
        <w:pStyle w:val="Heading2"/>
        <w:numPr>
          <w:ilvl w:val="1"/>
          <w:numId w:val="2"/>
        </w:numPr>
      </w:pPr>
      <w:r>
        <w:rPr>
          <w:rFonts w:ascii="Exo" w:cs="Exo" w:eastAsia="Exo" w:hAnsi="Exo"/>
          <w:b/>
          <w:bCs/>
        </w:rPr>
        <w:t xml:space="preserve">Gravity-Fed Pebble Circulation</w:t>
      </w:r>
    </w:p>
    <w:p>
      <w:pPr>
        <w:spacing w:after="120" w:line="276"/>
      </w:pPr>
      <w:r>
        <w:rPr>
          <w:rFonts w:ascii="Arial" w:cs="Arial" w:eastAsia="Arial" w:hAnsi="Arial"/>
          <w:b w:val="false"/>
          <w:bCs w:val="false"/>
          <w:i w:val="false"/>
          <w:iCs w:val="false"/>
          <w:color w:val="323235"/>
          <w:sz w:val="22"/>
          <w:szCs w:val="22"/>
        </w:rPr>
        <w:t xml:space="preserve">The Infinity II solid breeder blanket uses gravity-fed pebble flow: pebbles drift slowly downward through the blanket under gravity, are collected at the base, and are recirculated or replaced. This directly governs the time-varying T2 source term seen by the purge loop and sets the peak-to-average extraction demand that the getter bed must accommodate.</w:t>
      </w:r>
    </w:p>
    <w:p>
      <w:pPr>
        <w:spacing w:after="120" w:line="276"/>
      </w:pPr>
      <w:r>
        <w:rPr>
          <w:rFonts w:ascii="Arial" w:cs="Arial" w:eastAsia="Arial" w:hAnsi="Arial"/>
          <w:b w:val="false"/>
          <w:bCs w:val="false"/>
          <w:i w:val="false"/>
          <w:iCs w:val="false"/>
          <w:color w:val="323235"/>
          <w:sz w:val="22"/>
          <w:szCs w:val="22"/>
        </w:rPr>
        <w:t xml:space="preserve">From a modelling standpoint, gravity feeding is tractable via a Lagrangian approach: a single pebble in plug flow experiences a prescribed temperature profile T(z) and neutron source S_T(z) as it descends. Since z = v_pebble * t, these map directly to time-varying inputs for a transient 1D spherical FESTIM model -- no moving mesh is required. Trap density evolves with accumulated dose (n_t(t) = n_t,0 + alpha * Phi_n * t), making effective diffusivity time-varying along the pebble journey. The following simulations are incorporated into the Stage 2 programme: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80"/>
        <w:gridCol w:w="2580"/>
      </w:tblGrid>
      <w:tr>
        <w:trPr>
          <w:tblHeader/>
        </w:trPr>
        <w:tc>
          <w:tcPr>
            <w:tcW w:type="dxa" w:w="2000"/>
            <w:tcBorders>
              <w:top w:val="single" w:color="727275" w:sz="4"/>
              <w:left w:val="single" w:color="727275" w:sz="4"/>
              <w:bottom w:val="single" w:color="727275" w:sz="4"/>
              <w:right w:val="single" w:color="727275" w:sz="4"/>
            </w:tcBorders>
            <w:shd w:fill="3881C3" w:val="clear"/>
            <w:tcMar>
              <w:top w:type="dxa" w:w="100"/>
              <w:left w:type="dxa" w:w="140"/>
              <w:bottom w:type="dxa" w:w="100"/>
              <w:right w:type="dxa" w:w="140"/>
            </w:tcMar>
          </w:tcPr>
          <w:p>
            <w:r>
              <w:rPr>
                <w:rFonts w:ascii="Exo" w:cs="Exo" w:eastAsia="Exo" w:hAnsi="Exo"/>
                <w:b/>
                <w:bCs/>
                <w:color w:val="FFFFFF"/>
                <w:sz w:val="20"/>
                <w:szCs w:val="20"/>
              </w:rPr>
              <w:t xml:space="preserve">Simulation</w:t>
            </w:r>
          </w:p>
        </w:tc>
        <w:tc>
          <w:tcPr>
            <w:tcW w:type="dxa" w:w="2200"/>
            <w:tcBorders>
              <w:top w:val="single" w:color="727275" w:sz="4"/>
              <w:left w:val="single" w:color="727275" w:sz="4"/>
              <w:bottom w:val="single" w:color="727275" w:sz="4"/>
              <w:right w:val="single" w:color="727275" w:sz="4"/>
            </w:tcBorders>
            <w:shd w:fill="3881C3" w:val="clear"/>
            <w:tcMar>
              <w:top w:type="dxa" w:w="100"/>
              <w:left w:type="dxa" w:w="140"/>
              <w:bottom w:type="dxa" w:w="100"/>
              <w:right w:type="dxa" w:w="140"/>
            </w:tcMar>
          </w:tcPr>
          <w:p>
            <w:r>
              <w:rPr>
                <w:rFonts w:ascii="Exo" w:cs="Exo" w:eastAsia="Exo" w:hAnsi="Exo"/>
                <w:b/>
                <w:bCs/>
                <w:color w:val="FFFFFF"/>
                <w:sz w:val="20"/>
                <w:szCs w:val="20"/>
              </w:rPr>
              <w:t xml:space="preserve">Approach</w:t>
            </w:r>
          </w:p>
        </w:tc>
        <w:tc>
          <w:tcPr>
            <w:tcW w:type="dxa" w:w="2580"/>
            <w:tcBorders>
              <w:top w:val="single" w:color="727275" w:sz="4"/>
              <w:left w:val="single" w:color="727275" w:sz="4"/>
              <w:bottom w:val="single" w:color="727275" w:sz="4"/>
              <w:right w:val="single" w:color="727275" w:sz="4"/>
            </w:tcBorders>
            <w:shd w:fill="3881C3" w:val="clear"/>
            <w:tcMar>
              <w:top w:type="dxa" w:w="100"/>
              <w:left w:type="dxa" w:w="140"/>
              <w:bottom w:type="dxa" w:w="100"/>
              <w:right w:type="dxa" w:w="140"/>
            </w:tcMar>
          </w:tcPr>
          <w:p>
            <w:r>
              <w:rPr>
                <w:rFonts w:ascii="Exo" w:cs="Exo" w:eastAsia="Exo" w:hAnsi="Exo"/>
                <w:b/>
                <w:bCs/>
                <w:color w:val="FFFFFF"/>
                <w:sz w:val="20"/>
                <w:szCs w:val="20"/>
              </w:rPr>
              <w:t xml:space="preserve">Key Output</w:t>
            </w:r>
          </w:p>
        </w:tc>
        <w:tc>
          <w:tcPr>
            <w:tcW w:type="dxa" w:w="2580"/>
            <w:tcBorders>
              <w:top w:val="single" w:color="727275" w:sz="4"/>
              <w:left w:val="single" w:color="727275" w:sz="4"/>
              <w:bottom w:val="single" w:color="727275" w:sz="4"/>
              <w:right w:val="single" w:color="727275" w:sz="4"/>
            </w:tcBorders>
            <w:shd w:fill="3881C3" w:val="clear"/>
            <w:tcMar>
              <w:top w:type="dxa" w:w="100"/>
              <w:left w:type="dxa" w:w="140"/>
              <w:bottom w:type="dxa" w:w="100"/>
              <w:right w:type="dxa" w:w="140"/>
            </w:tcMar>
          </w:tcPr>
          <w:p>
            <w:r>
              <w:rPr>
                <w:rFonts w:ascii="Exo" w:cs="Exo" w:eastAsia="Exo" w:hAnsi="Exo"/>
                <w:b/>
                <w:bCs/>
                <w:color w:val="FFFFFF"/>
                <w:sz w:val="20"/>
                <w:szCs w:val="20"/>
              </w:rPr>
              <w:t xml:space="preserve">Design Question</w:t>
            </w:r>
          </w:p>
        </w:tc>
      </w:tr>
      <w:tr>
        <w:tc>
          <w:tcPr>
            <w:tcW w:type="dxa" w:w="200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Single-pebble journey</w:t>
            </w:r>
          </w:p>
        </w:tc>
        <w:tc>
          <w:tcPr>
            <w:tcW w:type="dxa" w:w="220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Transient 1D spherical, T(t) and S_T(t) from blanket profile, full residence time tau_res</w:t>
            </w:r>
          </w:p>
        </w:tc>
        <w:tc>
          <w:tcPr>
            <w:tcW w:type="dxa" w:w="258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Inventory I(t) and surface flux J(t) along journey; exit inventory I(tau_res)</w:t>
            </w:r>
          </w:p>
        </w:tc>
        <w:tc>
          <w:tcPr>
            <w:tcW w:type="dxa" w:w="258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How much tritium does a pebble carry out of the blanket? How much is captured by the purge gas?</w:t>
            </w:r>
          </w:p>
        </w:tc>
      </w:tr>
      <w:tr>
        <w:tc>
          <w:tcPr>
            <w:tcW w:type="dxa" w:w="200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Circulation rate sweep</w:t>
            </w:r>
          </w:p>
        </w:tc>
        <w:tc>
          <w:tcPr>
            <w:tcW w:type="dxa" w:w="220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Repeat single-pebble journey across a range of pebble velocities (residence times)</w:t>
            </w:r>
          </w:p>
        </w:tc>
        <w:tc>
          <w:tcPr>
            <w:tcW w:type="dxa" w:w="258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Exit inventory and time-average purge gas load vs. residence time</w:t>
            </w:r>
          </w:p>
        </w:tc>
        <w:tc>
          <w:tcPr>
            <w:tcW w:type="dxa" w:w="258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What is the optimal circulation rate balancing extraction efficiency against handling frequency?</w:t>
            </w:r>
          </w:p>
        </w:tc>
      </w:tr>
      <w:tr>
        <w:tc>
          <w:tcPr>
            <w:tcW w:type="dxa" w:w="200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Burst release (temperature step)</w:t>
            </w:r>
          </w:p>
        </w:tc>
        <w:tc>
          <w:tcPr>
            <w:tcW w:type="dxa" w:w="220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Pebble at steady state at T1 (traps loaded); impose T2 &gt; T1 at t=0</w:t>
            </w:r>
          </w:p>
        </w:tc>
        <w:tc>
          <w:tcPr>
            <w:tcW w:type="dxa" w:w="258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Peak release rate, duration, and integrated flux above steady state</w:t>
            </w:r>
          </w:p>
        </w:tc>
        <w:tc>
          <w:tcPr>
            <w:tcW w:type="dxa" w:w="258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What is the peak purge gas demand when pebbles enter a hotter zone? Is the getter bed sized for peak or average load?</w:t>
            </w:r>
          </w:p>
        </w:tc>
      </w:tr>
      <w:tr>
        <w:tc>
          <w:tcPr>
            <w:tcW w:type="dxa" w:w="200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Multi-cycle convergence</w:t>
            </w:r>
          </w:p>
        </w:tc>
        <w:tc>
          <w:tcPr>
            <w:tcW w:type="dxa" w:w="220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Chain successive circulation cycles using exit concentration profile as initial condition for next cycle</w:t>
            </w:r>
          </w:p>
        </w:tc>
        <w:tc>
          <w:tcPr>
            <w:tcW w:type="dxa" w:w="258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Asymptotic per-pebble inventory after N cycles; cycles to reach steady state</w:t>
            </w:r>
          </w:p>
        </w:tc>
        <w:tc>
          <w:tcPr>
            <w:tcW w:type="dxa" w:w="258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If pebbles are reused without external annealing, what is the long-run tritium inventory per pebble?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8A0D8" w:sz="24"/>
              <w:bottom w:val="none" w:color="FFFFFF" w:sz="0"/>
              <w:right w:val="none" w:color="FFFFFF" w:sz="0"/>
            </w:tcBorders>
            <w:shd w:fill="EBF6FD" w:val="clear"/>
            <w:tcMar>
              <w:top w:type="dxa" w:w="100"/>
              <w:left w:type="dxa" w:w="220"/>
              <w:bottom w:type="dxa" w:w="100"/>
              <w:right w:type="dxa" w:w="140"/>
            </w:tcMar>
          </w:tcPr>
          <w:p>
            <w:pPr>
              <w:spacing w:after="80"/>
            </w:pPr>
            <w:r>
              <w:rPr>
                <w:rFonts w:ascii="Exo" w:cs="Exo" w:eastAsia="Exo" w:hAnsi="Exo"/>
                <w:b/>
                <w:bCs/>
                <w:color w:val="3881C3"/>
                <w:sz w:val="22"/>
                <w:szCs w:val="22"/>
              </w:rPr>
              <w:t xml:space="preserve">Stage 2 Outcome</w:t>
            </w:r>
          </w:p>
          <w:p>
            <w:pPr>
              <w:spacing w:after="0"/>
            </w:pPr>
            <w:r>
              <w:rPr>
                <w:rFonts w:ascii="Arial" w:cs="Arial" w:eastAsia="Arial" w:hAnsi="Arial"/>
                <w:color w:val="323235"/>
                <w:sz w:val="20"/>
                <w:szCs w:val="20"/>
              </w:rPr>
              <w:t xml:space="preserve">A helium purge loop TES model capturing tritium partial pressure evolution, extraction efficiency as a function of operating conditions, and the effect of pebble bed packing and network geometry on bulk release behaviour. Gravity-fed pebble circulation simulations provide the time-varying T2 source term and peak extraction demand. All results packaged for the Infinity II TES design team.</w:t>
            </w:r>
          </w:p>
        </w:tc>
      </w:tr>
    </w:tbl>
    <w:p>
      <w:pPr>
        <w:spacing w:after="220"/>
      </w:pPr>
    </w:p>
    <w:p>
      <w:pPr>
        <w:pStyle w:val="Heading1"/>
        <w:numPr>
          <w:ilvl w:val="0"/>
          <w:numId w:val="2"/>
        </w:numPr>
      </w:pPr>
      <w:r>
        <w:rPr>
          <w:rFonts w:ascii="Exo" w:cs="Exo" w:eastAsia="Exo" w:hAnsi="Exo"/>
          <w:b/>
          <w:bCs/>
        </w:rPr>
        <w:t xml:space="preserve">Stage 3 -- Plant-Scale Surrogate (Stretch Goal, Weeks 9-10)</w:t>
      </w:r>
    </w:p>
    <w:p>
      <w:pPr>
        <w:spacing w:after="120" w:line="276"/>
      </w:pPr>
      <w:r>
        <w:rPr>
          <w:rFonts w:ascii="Arial" w:cs="Arial" w:eastAsia="Arial" w:hAnsi="Arial"/>
          <w:b w:val="false"/>
          <w:bCs w:val="false"/>
          <w:i w:val="false"/>
          <w:iCs w:val="false"/>
          <w:color w:val="323235"/>
          <w:sz w:val="22"/>
          <w:szCs w:val="22"/>
        </w:rPr>
        <w:t xml:space="preserve">Stage 3 is a conditional stretch goal, activated only if Stages 1 and 2 are comfortably complete by the end of Week 8. The objective is not to deliver a finished surrogate within the fellowship, but to establish the pattern: understanding how to construct a FESTIM-derived reduced-order model that preserves relevant physics while remaining computationally tractable at plant timescales, and that can interface with PathSim or FactorySim-style dynamic fuel cycle frameworks.</w:t>
      </w:r>
    </w:p>
    <w:p>
      <w:pPr>
        <w:spacing w:after="120" w:line="276"/>
      </w:pPr>
      <w:r>
        <w:rPr>
          <w:rFonts w:ascii="Arial" w:cs="Arial" w:eastAsia="Arial" w:hAnsi="Arial"/>
          <w:b w:val="false"/>
          <w:bCs w:val="false"/>
          <w:i w:val="false"/>
          <w:iCs w:val="false"/>
          <w:color w:val="323235"/>
          <w:sz w:val="22"/>
          <w:szCs w:val="22"/>
        </w:rPr>
        <w:t xml:space="preserve">Even partial progress in Weeks 9-10 creates a well-defined foundation for post-fellowship development, which will become increasingly important as Type One Energy moves toward a tritium facility.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8A0D8" w:sz="24"/>
              <w:bottom w:val="none" w:color="FFFFFF" w:sz="0"/>
              <w:right w:val="none" w:color="FFFFFF" w:sz="0"/>
            </w:tcBorders>
            <w:shd w:fill="EBF6FD" w:val="clear"/>
            <w:tcMar>
              <w:top w:type="dxa" w:w="100"/>
              <w:left w:type="dxa" w:w="220"/>
              <w:bottom w:type="dxa" w:w="100"/>
              <w:right w:type="dxa" w:w="140"/>
            </w:tcMar>
          </w:tcPr>
          <w:p>
            <w:pPr>
              <w:spacing w:after="80"/>
            </w:pPr>
            <w:r>
              <w:rPr>
                <w:rFonts w:ascii="Exo" w:cs="Exo" w:eastAsia="Exo" w:hAnsi="Exo"/>
                <w:b/>
                <w:bCs/>
                <w:color w:val="3881C3"/>
                <w:sz w:val="22"/>
                <w:szCs w:val="22"/>
              </w:rPr>
              <w:t xml:space="preserve">Stage 3 Activation Criterion</w:t>
            </w:r>
          </w:p>
          <w:p>
            <w:pPr>
              <w:spacing w:after="0"/>
            </w:pPr>
            <w:r>
              <w:rPr>
                <w:rFonts w:ascii="Arial" w:cs="Arial" w:eastAsia="Arial" w:hAnsi="Arial"/>
                <w:color w:val="323235"/>
                <w:sz w:val="20"/>
                <w:szCs w:val="20"/>
              </w:rPr>
              <w:t xml:space="preserve">Stage 3 begins only if both Stage 1 and Stage 2 deliverables are complete and documented by the end of Week 8. It is not expected to produce a fully integrated surrogate within the fellowship period. Progress made will be documented and handed over as a foundation for continued development at Type One Energy.</w:t>
            </w:r>
          </w:p>
        </w:tc>
      </w:tr>
    </w:tbl>
    <w:p>
      <w:pPr>
        <w:spacing w:after="220"/>
      </w:pPr>
    </w:p>
    <w:p>
      <w:pPr>
        <w:pStyle w:val="Heading1"/>
        <w:numPr>
          <w:ilvl w:val="0"/>
          <w:numId w:val="2"/>
        </w:numPr>
      </w:pPr>
      <w:r>
        <w:rPr>
          <w:rFonts w:ascii="Exo" w:cs="Exo" w:eastAsia="Exo" w:hAnsi="Exo"/>
          <w:b/>
          <w:bCs/>
        </w:rPr>
        <w:t xml:space="preserve">Learning Objectives</w:t>
      </w:r>
    </w:p>
    <w:p>
      <w:pPr>
        <w:spacing w:after="120" w:line="276"/>
      </w:pPr>
      <w:r>
        <w:rPr>
          <w:rFonts w:ascii="Arial" w:cs="Arial" w:eastAsia="Arial" w:hAnsi="Arial"/>
          <w:b w:val="false"/>
          <w:bCs w:val="false"/>
          <w:i w:val="false"/>
          <w:iCs w:val="false"/>
          <w:color w:val="323235"/>
          <w:sz w:val="22"/>
          <w:szCs w:val="22"/>
        </w:rPr>
        <w:t xml:space="preserve">Three technical capability gaps are threaded across the fellowship stages. Progress against each forms part of the fellowship's core value to the Type One Energy team and is intended to result in transferable capability beyond the immediate project deliverables.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W w:type="dxa" w:w="2200"/>
            <w:tcBorders>
              <w:top w:val="single" w:color="727275" w:sz="4"/>
              <w:left w:val="single" w:color="727275" w:sz="4"/>
              <w:bottom w:val="single" w:color="727275" w:sz="4"/>
              <w:right w:val="single" w:color="727275" w:sz="4"/>
            </w:tcBorders>
            <w:shd w:fill="3881C3" w:val="clear"/>
            <w:tcMar>
              <w:top w:type="dxa" w:w="100"/>
              <w:left w:type="dxa" w:w="140"/>
              <w:bottom w:type="dxa" w:w="100"/>
              <w:right w:type="dxa" w:w="140"/>
            </w:tcMar>
          </w:tcPr>
          <w:p>
            <w:r>
              <w:rPr>
                <w:rFonts w:ascii="Exo" w:cs="Exo" w:eastAsia="Exo" w:hAnsi="Exo"/>
                <w:b/>
                <w:bCs/>
                <w:color w:val="FFFFFF"/>
                <w:sz w:val="20"/>
                <w:szCs w:val="20"/>
              </w:rPr>
              <w:t xml:space="preserve">Objective</w:t>
            </w:r>
          </w:p>
        </w:tc>
        <w:tc>
          <w:tcPr>
            <w:tcW w:type="dxa" w:w="4960"/>
            <w:tcBorders>
              <w:top w:val="single" w:color="727275" w:sz="4"/>
              <w:left w:val="single" w:color="727275" w:sz="4"/>
              <w:bottom w:val="single" w:color="727275" w:sz="4"/>
              <w:right w:val="single" w:color="727275" w:sz="4"/>
            </w:tcBorders>
            <w:shd w:fill="3881C3" w:val="clear"/>
            <w:tcMar>
              <w:top w:type="dxa" w:w="100"/>
              <w:left w:type="dxa" w:w="140"/>
              <w:bottom w:type="dxa" w:w="100"/>
              <w:right w:type="dxa" w:w="140"/>
            </w:tcMar>
          </w:tcPr>
          <w:p>
            <w:r>
              <w:rPr>
                <w:rFonts w:ascii="Exo" w:cs="Exo" w:eastAsia="Exo" w:hAnsi="Exo"/>
                <w:b/>
                <w:bCs/>
                <w:color w:val="FFFFFF"/>
                <w:sz w:val="20"/>
                <w:szCs w:val="20"/>
              </w:rPr>
              <w:t xml:space="preserve">Description</w:t>
            </w:r>
          </w:p>
        </w:tc>
        <w:tc>
          <w:tcPr>
            <w:tcW w:type="dxa" w:w="2200"/>
            <w:tcBorders>
              <w:top w:val="single" w:color="727275" w:sz="4"/>
              <w:left w:val="single" w:color="727275" w:sz="4"/>
              <w:bottom w:val="single" w:color="727275" w:sz="4"/>
              <w:right w:val="single" w:color="727275" w:sz="4"/>
            </w:tcBorders>
            <w:shd w:fill="3881C3" w:val="clear"/>
            <w:tcMar>
              <w:top w:type="dxa" w:w="100"/>
              <w:left w:type="dxa" w:w="140"/>
              <w:bottom w:type="dxa" w:w="100"/>
              <w:right w:type="dxa" w:w="140"/>
            </w:tcMar>
          </w:tcPr>
          <w:p>
            <w:r>
              <w:rPr>
                <w:rFonts w:ascii="Exo" w:cs="Exo" w:eastAsia="Exo" w:hAnsi="Exo"/>
                <w:b/>
                <w:bCs/>
                <w:color w:val="FFFFFF"/>
                <w:sz w:val="20"/>
                <w:szCs w:val="20"/>
              </w:rPr>
              <w:t xml:space="preserve">Primary Stage</w:t>
            </w:r>
          </w:p>
        </w:tc>
      </w:tr>
      <w:tr>
        <w:tc>
          <w:tcPr>
            <w:tcW w:type="dxa" w:w="220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System-scale FESTIM</w:t>
            </w:r>
          </w:p>
        </w:tc>
        <w:tc>
          <w:tcPr>
            <w:tcW w:type="dxa" w:w="496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Best-practice use of FESTIM for simulations spanning multiple components and geometries. Understanding how to structure and connect model domains at system scale.</w:t>
            </w:r>
          </w:p>
        </w:tc>
        <w:tc>
          <w:tcPr>
            <w:tcW w:type="dxa" w:w="220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Stages 1 and 2</w:t>
            </w:r>
          </w:p>
        </w:tc>
      </w:tr>
      <w:tr>
        <w:tc>
          <w:tcPr>
            <w:tcW w:type="dxa" w:w="220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Experimental coupling</w:t>
            </w:r>
          </w:p>
        </w:tc>
        <w:tc>
          <w:tcPr>
            <w:tcW w:type="dxa" w:w="496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Approaches to coupling FESTIM models to real experimental data. Structuring simulations so that measured transport properties constrain and validate model parameters in a rigorous and traceable way. Learning from the FESTIM team's experience with set-ups such as LIBRA.</w:t>
            </w:r>
          </w:p>
        </w:tc>
        <w:tc>
          <w:tcPr>
            <w:tcW w:type="dxa" w:w="2200"/>
            <w:tcBorders>
              <w:top w:val="single" w:color="727275" w:sz="4"/>
              <w:left w:val="single" w:color="727275" w:sz="4"/>
              <w:bottom w:val="single" w:color="727275" w:sz="4"/>
              <w:right w:val="single" w:color="727275" w:sz="4"/>
            </w:tcBorders>
            <w:shd w:fill="EBF6FD" w:val="clear"/>
            <w:tcMar>
              <w:top w:type="dxa" w:w="100"/>
              <w:left w:type="dxa" w:w="140"/>
              <w:bottom w:type="dxa" w:w="100"/>
              <w:right w:type="dxa" w:w="140"/>
            </w:tcMar>
          </w:tcPr>
          <w:p>
            <w:r>
              <w:rPr>
                <w:rFonts w:ascii="Arial" w:cs="Arial" w:eastAsia="Arial" w:hAnsi="Arial"/>
                <w:color w:val="323235"/>
                <w:sz w:val="20"/>
                <w:szCs w:val="20"/>
              </w:rPr>
              <w:t xml:space="preserve">Stage 1 (Weeks 2-4)</w:t>
            </w:r>
          </w:p>
        </w:tc>
      </w:tr>
      <w:tr>
        <w:tc>
          <w:tcPr>
            <w:tcW w:type="dxa" w:w="220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Surrogate construction</w:t>
            </w:r>
          </w:p>
        </w:tc>
        <w:tc>
          <w:tcPr>
            <w:tcW w:type="dxa" w:w="496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Established patterns for constructing reduced-order surrogates from FESTIM for integration into wider modelling frameworks, preserving relevant physics while remaining computationally tractable at plant timescales.</w:t>
            </w:r>
          </w:p>
        </w:tc>
        <w:tc>
          <w:tcPr>
            <w:tcW w:type="dxa" w:w="2200"/>
            <w:tcBorders>
              <w:top w:val="single" w:color="727275" w:sz="4"/>
              <w:left w:val="single" w:color="727275" w:sz="4"/>
              <w:bottom w:val="single" w:color="727275" w:sz="4"/>
              <w:right w:val="single" w:color="727275" w:sz="4"/>
            </w:tcBorders>
            <w:shd w:fill="FFFFFF" w:val="clear"/>
            <w:tcMar>
              <w:top w:type="dxa" w:w="100"/>
              <w:left w:type="dxa" w:w="140"/>
              <w:bottom w:type="dxa" w:w="100"/>
              <w:right w:type="dxa" w:w="140"/>
            </w:tcMar>
          </w:tcPr>
          <w:p>
            <w:r>
              <w:rPr>
                <w:rFonts w:ascii="Arial" w:cs="Arial" w:eastAsia="Arial" w:hAnsi="Arial"/>
                <w:color w:val="323235"/>
                <w:sz w:val="20"/>
                <w:szCs w:val="20"/>
              </w:rPr>
              <w:t xml:space="preserve">Stage 3 (if activated)</w:t>
            </w:r>
          </w:p>
        </w:tc>
      </w:tr>
    </w:tbl>
    <w:p>
      <w:pPr>
        <w:spacing w:after="220"/>
      </w:pPr>
    </w:p>
    <w:p>
      <w:pPr>
        <w:pStyle w:val="Heading1"/>
        <w:numPr>
          <w:ilvl w:val="0"/>
          <w:numId w:val="2"/>
        </w:numPr>
      </w:pPr>
      <w:r>
        <w:rPr>
          <w:rFonts w:ascii="Exo" w:cs="Exo" w:eastAsia="Exo" w:hAnsi="Exo"/>
          <w:b/>
          <w:bCs/>
        </w:rPr>
        <w:t xml:space="preserve">Experimental Data Contingency</w:t>
      </w:r>
    </w:p>
    <w:p>
      <w:pPr>
        <w:spacing w:after="120" w:line="276"/>
      </w:pPr>
      <w:r>
        <w:rPr>
          <w:rFonts w:ascii="Arial" w:cs="Arial" w:eastAsia="Arial" w:hAnsi="Arial"/>
          <w:b w:val="false"/>
          <w:bCs w:val="false"/>
          <w:i w:val="false"/>
          <w:iCs w:val="false"/>
          <w:color w:val="323235"/>
          <w:sz w:val="22"/>
          <w:szCs w:val="22"/>
        </w:rPr>
        <w:t xml:space="preserve">The Type One Energy hydrogen laboratory programme is currently experiencing development delays. Internally generated characterisation rig data is not expected to be available in time to benchmark the pebble model during the fellowship period.</w:t>
      </w:r>
    </w:p>
    <w:p>
      <w:pPr>
        <w:spacing w:after="120" w:line="276"/>
      </w:pPr>
      <w:r>
        <w:rPr>
          <w:rFonts w:ascii="Arial" w:cs="Arial" w:eastAsia="Arial" w:hAnsi="Arial"/>
          <w:b w:val="false"/>
          <w:bCs w:val="false"/>
          <w:i w:val="false"/>
          <w:iCs w:val="false"/>
          <w:color w:val="323235"/>
          <w:sz w:val="22"/>
          <w:szCs w:val="22"/>
        </w:rPr>
        <w:t xml:space="preserve">The following approach is adopted to maintain Stage 1 progress without requiring internal data:</w:t>
      </w:r>
    </w:p>
    <w:p>
      <w:pPr>
        <w:spacing w:after="60"/>
      </w:pPr>
    </w:p>
    <w:p>
      <w:pPr>
        <w:pStyle w:val="ListParagraph"/>
        <w:numPr>
          <w:ilvl w:val="0"/>
          <w:numId w:val="3"/>
        </w:numPr>
        <w:spacing w:after="80" w:line="276"/>
      </w:pPr>
      <w:r>
        <w:rPr>
          <w:rFonts w:ascii="Arial" w:cs="Arial" w:eastAsia="Arial" w:hAnsi="Arial"/>
          <w:color w:val="323235"/>
          <w:sz w:val="22"/>
          <w:szCs w:val="22"/>
        </w:rPr>
        <w:t xml:space="preserve">Primary benchmarking will use published experimental release datasets from the open literature -- for example EXOTIC, ALICE, or equivalent lithium ceramic tritium release experiments -- as identified in consultation with the FESTIM team.</w:t>
      </w:r>
    </w:p>
    <w:p>
      <w:pPr>
        <w:pStyle w:val="ListParagraph"/>
        <w:numPr>
          <w:ilvl w:val="0"/>
          <w:numId w:val="3"/>
        </w:numPr>
        <w:spacing w:after="80" w:line="276"/>
      </w:pPr>
      <w:r>
        <w:rPr>
          <w:rFonts w:ascii="Arial" w:cs="Arial" w:eastAsia="Arial" w:hAnsi="Arial"/>
          <w:color w:val="323235"/>
          <w:sz w:val="22"/>
          <w:szCs w:val="22"/>
        </w:rPr>
        <w:t xml:space="preserve">Week 3 (Uncertainty and Experimental Coupling) will focus on architecting the model so that it is immediately ready to receive Type One Energy laboratory data when it becomes available. Output format alignment, uncertainty framework, and comparison pipeline will all be built during the fellowship.</w:t>
      </w:r>
    </w:p>
    <w:p>
      <w:pPr>
        <w:pStyle w:val="ListParagraph"/>
        <w:numPr>
          <w:ilvl w:val="0"/>
          <w:numId w:val="3"/>
        </w:numPr>
        <w:spacing w:after="80" w:line="276"/>
      </w:pPr>
      <w:r>
        <w:rPr>
          <w:rFonts w:ascii="Arial" w:cs="Arial" w:eastAsia="Arial" w:hAnsi="Arial"/>
          <w:color w:val="323235"/>
          <w:sz w:val="22"/>
          <w:szCs w:val="22"/>
        </w:rPr>
        <w:t xml:space="preserve">The Stage 1 milestone is reframed accordingly: the deliverable is a model benchmarked against literature data and structured to receive internal measurements, rather than a model fully validated against Type One Energy data.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8A0D8" w:sz="24"/>
              <w:bottom w:val="none" w:color="FFFFFF" w:sz="0"/>
              <w:right w:val="none" w:color="FFFFFF" w:sz="0"/>
            </w:tcBorders>
            <w:shd w:fill="EBF6FD" w:val="clear"/>
            <w:tcMar>
              <w:top w:type="dxa" w:w="100"/>
              <w:left w:type="dxa" w:w="220"/>
              <w:bottom w:type="dxa" w:w="100"/>
              <w:right w:type="dxa" w:w="140"/>
            </w:tcMar>
          </w:tcPr>
          <w:p>
            <w:pPr>
              <w:spacing w:after="80"/>
            </w:pPr>
            <w:r>
              <w:rPr>
                <w:rFonts w:ascii="Exo" w:cs="Exo" w:eastAsia="Exo" w:hAnsi="Exo"/>
                <w:b/>
                <w:bCs/>
                <w:color w:val="3881C3"/>
                <w:sz w:val="22"/>
                <w:szCs w:val="22"/>
              </w:rPr>
              <w:t xml:space="preserve">Post-Fellowship Action</w:t>
            </w:r>
          </w:p>
          <w:p>
            <w:pPr>
              <w:spacing w:after="0"/>
            </w:pPr>
            <w:r>
              <w:rPr>
                <w:rFonts w:ascii="Arial" w:cs="Arial" w:eastAsia="Arial" w:hAnsi="Arial"/>
                <w:color w:val="323235"/>
                <w:sz w:val="20"/>
                <w:szCs w:val="20"/>
              </w:rPr>
              <w:t xml:space="preserve">When hydrogen laboratory data becomes available, inserting it into the validated model structure produced during the fellowship should require minimal re-engineering. This is a deliberate design goal of the Week 3 work and is the primary mechanism by which the fellowship investment continues to deliver value after the programme ends.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881C3" w:sz="6" w:space="1"/>
      </w:pBdr>
      <w:spacing w:before="80"/>
      <w:jc w:val="center"/>
    </w:pPr>
    <w:r>
      <w:rPr>
        <w:rFonts w:ascii="Arial" w:cs="Arial" w:eastAsia="Arial" w:hAnsi="Arial"/>
        <w:i/>
        <w:iCs/>
        <w:color w:val="727275"/>
        <w:sz w:val="14"/>
        <w:szCs w:val="14"/>
      </w:rPr>
      <w:t xml:space="preserve">Page </w:t>
    </w:r>
    <w:r>
      <w:rPr>
        <w:rFonts w:ascii="Arial" w:cs="Arial" w:eastAsia="Arial" w:hAnsi="Arial"/>
        <w:i/>
        <w:iCs/>
        <w:color w:val="727275"/>
        <w:sz w:val="14"/>
        <w:szCs w:val="14"/>
      </w:rPr>
      <w:fldChar w:fldCharType="begin"/>
      <w:instrText xml:space="preserve">PAGE</w:instrText>
      <w:fldChar w:fldCharType="separate"/>
      <w:fldChar w:fldCharType="end"/>
    </w:r>
    <w:r>
      <w:rPr>
        <w:rFonts w:ascii="Arial" w:cs="Arial" w:eastAsia="Arial" w:hAnsi="Arial"/>
        <w:i/>
        <w:iCs/>
        <w:color w:val="727275"/>
        <w:sz w:val="14"/>
        <w:szCs w:val="14"/>
      </w:rPr>
      <w:t xml:space="preserve"> of </w:t>
    </w:r>
    <w:r>
      <w:rPr>
        <w:rFonts w:ascii="Arial" w:cs="Arial" w:eastAsia="Arial" w:hAnsi="Arial"/>
        <w:i/>
        <w:iCs/>
        <w:color w:val="72727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881C3" w:sz="6" w:space="1"/>
      </w:pBdr>
      <w:spacing w:after="80"/>
      <w:jc w:val="right"/>
    </w:pPr>
    <w:r>
      <w:rPr>
        <w:rFonts w:ascii="Exo" w:cs="Exo" w:eastAsia="Exo" w:hAnsi="Exo"/>
        <w:b/>
        <w:bCs/>
        <w:color w:val="3881C3"/>
        <w:sz w:val="20"/>
        <w:szCs w:val="20"/>
      </w:rPr>
      <w:t xml:space="preserve">Type One Energy</w:t>
    </w:r>
    <w:r>
      <w:rPr>
        <w:rFonts w:ascii="Arial" w:cs="Arial" w:eastAsia="Arial" w:hAnsi="Arial"/>
        <w:color w:val="515156"/>
        <w:sz w:val="18"/>
        <w:szCs w:val="18"/>
      </w:rPr>
      <w:t xml:space="preserve">  |  FESTIM Fellowship Work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lvl w:ilvl="1" w15:tentative="1">
      <w:start w:val="1"/>
      <w:numFmt w:val="decimal"/>
      <w:lvlText w:val="%1.%2"/>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2323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881C3" w:sz="6" w:space="1"/>
      </w:pBdr>
      <w:spacing w:after="120" w:before="360"/>
      <w:outlineLvl w:val="0"/>
    </w:pPr>
    <w:rPr>
      <w:rFonts w:ascii="Exo" w:cs="Exo" w:eastAsia="Exo" w:hAnsi="Exo"/>
      <w:b/>
      <w:bCs/>
      <w:color w:val="3881C3"/>
      <w:sz w:val="30"/>
      <w:szCs w:val="30"/>
    </w:rPr>
  </w:style>
  <w:style w:type="paragraph" w:styleId="Heading2">
    <w:name w:val="Heading 2"/>
    <w:basedOn w:val="Normal"/>
    <w:next w:val="Normal"/>
    <w:qFormat/>
    <w:pPr>
      <w:spacing w:after="80" w:before="240"/>
      <w:outlineLvl w:val="1"/>
    </w:pPr>
    <w:rPr>
      <w:rFonts w:ascii="Exo" w:cs="Exo" w:eastAsia="Exo" w:hAnsi="Exo"/>
      <w:b/>
      <w:bCs/>
      <w:color w:val="48A0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2026-05-20T10:47:01.985Z</dcterms:created>
  <dcterms:modified xsi:type="dcterms:W3CDTF">2026-05-20T10:47:01.985Z</dcterms:modified>
</cp:coreProperties>
</file>

<file path=docProps/custom.xml><?xml version="1.0" encoding="utf-8"?>
<Properties xmlns="http://schemas.openxmlformats.org/officeDocument/2006/custom-properties" xmlns:vt="http://schemas.openxmlformats.org/officeDocument/2006/docPropsVTypes"/>
</file>