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spacing w:after="60" w:before="0" w:line="276"/>
        <w:jc w:val="start"/>
      </w:pPr>
      <w:r>
        <w:rPr>
          <w:rFonts w:ascii="Segoe UI" w:cs="Segoe UI" w:eastAsia="Segoe UI" w:hAnsi="Segoe UI" w:hint="cs"/>
          <w:b/>
          <w:bCs/>
          <w:color w:val="006E61"/>
          <w:sz w:val="34"/>
          <w:szCs w:val="34"/>
          <w:rtl/>
          <w:lang w:bidi="ar-SA"/>
        </w:rPr>
        <w:t xml:space="preserve">تشخيص التفاعل العالمي لموقع «زوروا الأحساء» وخطة التحسين</w:t>
      </w:r>
    </w:p>
    <w:p>
      <w:pPr>
        <w:bidi/>
        <w:spacing w:after="80" w:before="0" w:line="276"/>
        <w:jc w:val="both"/>
      </w:pP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تاريخ الفحص: 2026-09-08 · الالتزام المفحوص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c71bbd8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وهو نفسه المنشور على الإنتاج (نشر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Netlify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رقم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6a9fc747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، 2026-09-08 08:29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UTC) ·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هذا الملف مرجع التنفيذ، والنسخة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Word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مطابقة له.</w:t>
      </w:r>
    </w:p>
    <w:p>
      <w:pPr>
        <w:pStyle w:val="Heading2"/>
        <w:keepNext/>
        <w:pBdr>
          <w:bottom w:val="single" w:color="9A6B1F" w:sz="6" w:space="2"/>
        </w:pBdr>
        <w:bidi/>
        <w:spacing w:after="80" w:before="200" w:line="276"/>
        <w:jc w:val="start"/>
      </w:pPr>
      <w:r>
        <w:rPr>
          <w:rFonts w:ascii="Segoe UI" w:cs="Segoe UI" w:eastAsia="Segoe UI" w:hAnsi="Segoe UI" w:hint="cs"/>
          <w:b/>
          <w:bCs/>
          <w:color w:val="006E61"/>
          <w:sz w:val="25"/>
          <w:szCs w:val="25"/>
          <w:rtl/>
          <w:lang w:bidi="ar-SA"/>
        </w:rPr>
        <w:t xml:space="preserve">1. الملخص التنفيذي</w:t>
      </w:r>
    </w:p>
    <w:p>
      <w:pPr>
        <w:pStyle w:val="ListParagraph"/>
        <w:numPr>
          <w:ilvl w:val="0"/>
          <w:numId w:val="2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الحكم: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الموقع سليم تقنياً (بناء أخضر بـ24 فحص تضارب، إتاحة وسيو 100/100 على 12 صفحة مقيسة، 0 رابط مكسور من 20,296 مرجعاً داخلياً)، لكنه يستقبل الزائر العالمي بالعربية، ويعلن نسخاً بلغات لم تكتمل، ويبطئ على الجوال في أول ثانية، ولا يقيس بقاء الزائر ولا فعله.</w:t>
      </w:r>
    </w:p>
    <w:p>
      <w:pPr>
        <w:pStyle w:val="ListParagraph"/>
        <w:numPr>
          <w:ilvl w:val="0"/>
          <w:numId w:val="2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التدخل الأول: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استقبال الزائر بلغته: شريط اقتراح اللغة، وصفحة 404 بلغة المسار، وبيان تطبيق لكل لغة.</w:t>
      </w:r>
    </w:p>
    <w:p>
      <w:pPr>
        <w:pStyle w:val="ListParagraph"/>
        <w:numPr>
          <w:ilvl w:val="0"/>
          <w:numId w:val="2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التدخل الثاني: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تسريع الشاشة الأولى على الجوال إلى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LCP ≤ 2.5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ثانية بتأجيل الفيديو وحصر الخطوط السيريلية وتضمين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CSS.</w:t>
      </w:r>
    </w:p>
    <w:p>
      <w:pPr>
        <w:pStyle w:val="ListParagraph"/>
        <w:numPr>
          <w:ilvl w:val="0"/>
          <w:numId w:val="2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التدخل الثالث: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إجابات قابلة للاستخراج لمحركات الذكاء الاصطناعي من البيانات الموثّقة القائمة (جداول، مواعيد مبنيَنة، فقرة إجابة، صفحة اليونسكو).</w:t>
      </w:r>
    </w:p>
    <w:p>
      <w:pPr>
        <w:pStyle w:val="ListParagraph"/>
        <w:numPr>
          <w:ilvl w:val="0"/>
          <w:numId w:val="2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الخطة: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10 بنود في 10 خطوات، كلها كود أو محتوى أو تهيئة داخل المستودع وخدماته القائمة، بلا مصدر خارجي جديد ولا حساب ولا مفتاح، وتبدأ بالقياس لأن كل مؤشر أدناه يُقرأ منه.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أساس الأدلة وفجواته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الأدوات: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بناء كامل محلي (366 صفحة)؛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Lighthouse 12.8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على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Chrome 141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بمحاكاة جوال لـ12 صفحة من البناء؛ سكربتات فحص على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dist/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(روابط، hreflang، JSON-LD، صور OG، أوصاف الميتا، نسبة النص غير المترجم)؛ قراءة المصدر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docs/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وبيانات نشر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Netlify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وسجل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GitHub Actions.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فجوة 1: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الموقع الحي وواجهة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PageSpeed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محجوبان شبكياً من بيئة الفحص؛ البديل بناء الالتزام المنشور نفسه فالصفحات مطابقة، وسلوك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Netlify (13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قاعدة رؤوس، 0 تحويل) مأخوذ من ملخص النشر.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فجوة 2: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بيانات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GA4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وSearch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Console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وسجلات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Blobs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غير متاحة بلا اعتماد، فلا خط أساس سلوكي اليوم؛ يُسجَّل بعد الخطوة 1.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فجوة 3: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وجود مفتاح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Places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على الإنتاج مثبت وثائقياً (سجل التنفيذ 2026-09-04) لا بالمشاهدة؛ الفحص المحلي بُني بلا تقييمات.</w:t>
      </w:r>
    </w:p>
    <w:p>
      <w:pPr>
        <w:pStyle w:val="Heading2"/>
        <w:keepNext/>
        <w:pBdr>
          <w:bottom w:val="single" w:color="9A6B1F" w:sz="6" w:space="2"/>
        </w:pBdr>
        <w:bidi/>
        <w:spacing w:after="80" w:before="200" w:line="276"/>
        <w:jc w:val="start"/>
      </w:pPr>
      <w:r>
        <w:rPr>
          <w:rFonts w:ascii="Segoe UI" w:cs="Segoe UI" w:eastAsia="Segoe UI" w:hAnsi="Segoe UI" w:hint="cs"/>
          <w:b/>
          <w:bCs/>
          <w:color w:val="006E61"/>
          <w:sz w:val="25"/>
          <w:szCs w:val="25"/>
          <w:rtl/>
          <w:lang w:bidi="ar-SA"/>
        </w:rPr>
        <w:t xml:space="preserve">2. أهم خمسة عيوب (بالخطورة) ثم خمس فرص (بالأثر)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ع1. الزائر غير العربي يهبط على العربية بلا توجيه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netlify.toml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بلا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[[redirects]]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وملخص النشر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«No redirect rules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processed»؛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navigator.language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غير مستعمل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src/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x-default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يشير إلى الجذر العربي؛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site.webmanifest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بلغة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ar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؛ صفحة 404 عربية.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كل وصول مباشر أو من إجابة ذكاء اصطناعي أو رابط مشارَك يضع القارئ الأجنبي أمام صفحة عربية معكوسة الاتجاه فتنتهي الجلسة قبل أن تبدأ.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مكوّن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LangSuggest.astro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: شريط واحد غير حاجب يقارن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navigator.languages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بلغة الصفحة ويربط النظير من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alt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، يُغلق ويُحفظ محلياً داخل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try/catch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ويصمد عبر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ClientRouter. 2)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صفحة 404 بلغة بادئة المسار. 3) بيان تطبيق لكل لغة. لا تحويل بالخادم لئلا تُحجب النسخ عن الزواحف.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lang_suggest_click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÷ جلسات المتصفحات غير العربية على الصفحات العربية ≥ 30% خلال 30 يوماً.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 دمج واحد.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ع2. النسخ الصينية والروسية والألمانية تُعلن كاملة وهي مختلطة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 (مقيس على </w:t>
      </w:r>
      <w:r>
        <w:rPr>
          <w:rFonts w:ascii="Segoe UI" w:cs="Segoe UI" w:eastAsia="Segoe UI" w:hAnsi="Segoe UI" w:hint="cs"/>
          <w:b/>
          <w:bCs/>
          <w:sz w:val="21"/>
          <w:szCs w:val="21"/>
          <w:rtl w:val="false"/>
          <w:lang w:bidi="ar-SA"/>
        </w:rPr>
        <w:t xml:space="preserve">dist):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نص مطابق حرفياً للإنجليزية: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zh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13%،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ru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12%،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de 29%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(فهرس المعالم 50%)؛ مفاتيح الواجهة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zh 191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وde 145 وru 146 من 200؛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&lt;title&gt;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إنجليزي على فهرسَي المطاعم والإقامة الصينيين؛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/zh/blog/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مقالات إنجليزية؛ 8 من 10 روابط تنقّل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de/ru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تقصد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/en/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؛ وhreflang معلَن لـ140 صفحة بهذه اللغات.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القارئ يصطدم بالإنجليزية في منتصف صفحة بلغته فيغادر، والمحركات ترى تعارض اللغة المعلَنة.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فحص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C22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يقيس النص غير المترجم لكل صفحة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zh/de/ru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ويحجب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hreflang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وsitemap والمبدّل عمّا يتجاوز 20%. 2) عنوانا الفهرسين ووصفاهما عبر خط الترجمة القائم. 3) حجب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/zh/blog/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حتى يصل مقال صيني (ف5).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C22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أخضر؛ وقت التفاعل على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/zh/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/ru/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من الخطوة 1.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طلبا دمج.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ع3. الشاشة الأولى على الجوال أبطأ من العتبة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 </w:t>
      </w:r>
      <w:r>
        <w:rPr>
          <w:rFonts w:ascii="Segoe UI" w:cs="Segoe UI" w:eastAsia="Segoe UI" w:hAnsi="Segoe UI" w:hint="cs"/>
          <w:b/>
          <w:bCs/>
          <w:sz w:val="21"/>
          <w:szCs w:val="21"/>
          <w:rtl w:val="false"/>
          <w:lang w:bidi="ar-SA"/>
        </w:rPr>
        <w:t xml:space="preserve">(Lighthouse </w:t>
      </w: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جوال):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الرئيسية العربية أداء 73 وLCP 4.9 ث، والرئيسيات الأخرى 2.9 إلى 3.5، وجبل القارة 2.9؛ كلها فوق 2.5. الأسباب: فيديو الهيرو (1.26 ميغابايت) يبدأ عند 450 مللي ثانية قبل رسم LCP؛ 6 خطوط سيريلية (73 كيلوبايت) في كل صفحة بكل لغة لأن وجوه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fontsource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بلا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unicode-range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؛ 3 ملفات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CSS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حاجبة (400 مللي ثانية).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أول ثانيتين تقرران بقاء زائر الجوال العالمي.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HeroVideo.astro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: التحميل بعد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load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ثم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requestIdleCallback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، ويُتخطّى عند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saveData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أو شبكة دون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4g. 2)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الوجوه السيريلية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fonts.css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بـ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unicode-range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 3) تجربة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inlineStylesheets: 'always'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 4) بوابة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Lighthouse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build.yml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بعتبة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LCP ≤ 2.5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ث.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LCP ≤ 2.5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ث على الرئيسيات الخمس وقالب المعلم، وميدانياً عبر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web_vitals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طلبا دمج.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ع4. لا قياس للبقاء والفعل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أحداث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GA4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في الكود: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page_view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ai_referral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وأربعة أحداث لـ«رحلتي»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map_3d_opened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؛ لا حدث للبحث أو تبديل اللغة أو حفظ معلم أو فتح خرائط قوقل أو الفيديو أو المشاركة؛ لا قياس ميداني لمؤشرات الويب الحيوية.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«يبقى ثم يفعل» لا يُقرأ اليوم من أي تقرير، فلا يمكن الحكم على أي تدخل.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src/lib/analytics.ts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بدالة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track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تحرس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gtag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وتصمد عبر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ClientRouter. 2)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عشرة أحداث للبحث والتبديل والحفظ والخرائط والفيديو والفلاتر والمشاركة والروابط و«موقعي» واقتراح اللغة. 3) حزمة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web-vitals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ترسل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LCP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وINP وCLS حدثاً واحداً مع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lang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ai_source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 4) اختبار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Playwright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يثبت وصولها إلى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dataLayer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الأحداث العشرة في تقرير أحداث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GA4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خلال 48 ساعة، وخط أساس مسجَّل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docs/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بعد 14 يوماً.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 دمج واحد.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ع5. صفحات رقيقة مفهرسة بأربع لغات وبطاقات مشاركة عربية للصفحات الأجنبية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5 صفحات معالم بمتن من 6 إلى 13 كلمة (الاستاد، الملك عبدالله، السوسن، الفراولة، الليمون) مبنية بثلاث لغات أو أربع في sitemap؛ 25 متناً عربياً دون 80 كلمة و24 إنجليزياً دون 100؛ 96 صفحة بصورة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og-default.png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العربية النص، منها فهارس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EN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وzh و40 صفحة منشأة لها صورتها.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نسخ رقيقة بأربع لغات تُضعف ثقة المحركات بالنطاق، ومشاركة الصفحات الإنجليزية تظهر ببطاقة عربية.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عتبة نشر كعتبة المنشآت: دون 40 كلمة تبقى بطاقة، وتخرج صفحتها من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sitemap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وllms.txt بـ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noindex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حتى يصل متن مصدري. 2) تمرير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image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قالبي المنشأة والإقامة. 3)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og-default-{lang}.png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بخمس لغات وقت البناء بـ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sharp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المثبّتة. 4) فحص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C23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0 صفحة مفهرسة دون العتبة، وC23 أخضر.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طلبا دمج.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ف1. مشاركة بضغطة وروابط عميقة للخريطة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navigator.share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غير مستعمل في أي ملف؛ المشاركة موجودة في «رحلتي» فقط (3 صفحات: واتساب ونسخ الرابط)؛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MapView.astro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بلا حالة في الرابط فلا تُشارَك خريطة مفلترة ولا علامة بعينها، بينما فهرس المعالم يدعم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?cat=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«يشارك» أحد أفعال التفاعل المطلوبة، ومشاركة الجوال بلا زر تكاد تكون صفراً.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مكوّن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ShareButton.astro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بواجهة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Web Share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وتراجع «نسخ الرابط» في قوالب المعلم والمنشأة والفعالية والمقال بنصوص اللغات الخمس عبر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localize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 2) حالة الخريطة في الرابط (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?cat=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،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?q=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،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#slug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) تُقرأ عند التحميل وتُكتب بـ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history.replaceState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 3) حدثا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share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map_deeplink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حدث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share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لكل 100 جلسة ≥ 2 خلال 30 يوماً، ودخول عبر روابط خريطة عميقة أكبر من 0.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 دمج واحد.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ف2. «بالقرب مني» على الخريطة وصفحة المعلم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Permissions-Policy: geolocation=()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netlify.toml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public/_headers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يعطّل تحديد الموقع كلياً؛ لا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geolocation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src/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؛ صفحة المعلم تحسب «القريب» من إحداثيات المعالم فقط (58 من 58 لها إحداثيات).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الزائر على الأرض يسأل أولاً «ما القريب مني الآن؟» وهو أعلى فعل في خريطة سياحية، والموقع لا يغادر الجهاز.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geolocation=(self)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الملفين. 2) زر «موقعي»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MapView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عبر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map.locate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يرتّب القائمة بالمسافة ويضع علامة الزائر بلا تخزين. 3)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DetailView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زر اختياري «كم يبعد عني» يحسب المسافة محلياً. 4) اختبار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Playwright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بصلاحية موقع محاكاة.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حدث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map_locate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÷ جلسات الخريطة على الجوال ≥ 15%، وعمق التصفح بعد الخريطة.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 دمج واحد.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ف3. إجابات قابلة للاستخراج لمحركات الذكاء الاصطناعي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0 جدول في 367 صفحة؛ بنود الدراسة 4.1 و4.2 و3.3 و5.2 «ينتظر دوره» في سجل التنفيذ؛ البيانات جاهزة: 33 بنداً موثّقاً في 25 معلماً، مواسم 10 فعاليات والثمار، 6 مكوّنات يونسكو؛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llms.txt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عربي الشرح.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محركات الإجابة تقتبس الجداول والجمل الأولى المباشرة.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ثلاثة جداول مولَّدة من البيانات: مواعيد ورسوم الموثّق، روزنامة الفعاليات، مواسم الثمار. 2)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openingHoursSpecification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isAccessibleForFree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للبنود الموثّقة. 3) حقل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answer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(35 إلى 45 كلمة من المتن والبطاقة) لأهم 15 معلماً يتصدّر الصفحة. 4) صفحة مكوّنات اليونسكو من المحتوى القائم بلا حقيقة جديدة. 5)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llms.txt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بسطر إنجليزي مواز. 6) فحص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C24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: كل رقم وارد في مصدره.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جلسات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ai_referral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الأسبوعية ترتفع 50% خلال 90 يوماً، وC24 أخضر.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3 طلبات دمج.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ف4. ربط داخلي بين المعالم والمقالات والمنشآت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كل مقال إنجليزي يربط من 4 إلى 12 معلماً ولا معلم يربط المقالات التي تذكره؛ صفحة المنشأة بلا رابط سوى العودة وخرائط قوقل؛ صفحة المعلم تعرض «القريب» من المعالم فقط.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عمق التصفح يزيد بالروابط السياقية، ومحركات الإجابة تتتبعها لتكوين الإجابة.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وقت البناء: فهرس عكسي «مقالات تذكر هذا المعلم» يُعرض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DetailView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 2) في صفحة المنشأة قسم «معالم في الحي نفسه» بربط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district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القائم بحقل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district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يُضاف للمعالم التي يذكر متنها حيّها (الكوت، وسط الهفوف) ولا يُضاف لغيرها. 3) حدث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related_click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 4) فاحص روابط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postbuild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صفحات لكل جلسة ≥ 2.5 للجلسات غير العربية،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related_click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÷ مشاهدات المعلم ≥ 8%.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 دمج واحد.</w:t>
      </w:r>
    </w:p>
    <w:p>
      <w:pPr>
        <w:pStyle w:val="Heading3"/>
        <w:keepNext/>
        <w:bidi/>
        <w:spacing w:after="40" w:before="140" w:line="276"/>
        <w:jc w:val="start"/>
      </w:pPr>
      <w:r>
        <w:rPr>
          <w:rFonts w:ascii="Segoe UI" w:cs="Segoe UI" w:eastAsia="Segoe UI" w:hAnsi="Segoe UI" w:hint="cs"/>
          <w:b/>
          <w:bCs/>
          <w:color w:val="15211E"/>
          <w:sz w:val="22"/>
          <w:szCs w:val="22"/>
          <w:rtl/>
          <w:lang w:bidi="ar-SA"/>
        </w:rPr>
        <w:t xml:space="preserve">ف5. فتح المدونة للغات الثلاث بنيوياً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الدليل: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مخطط المدونة يحصر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lang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ar|en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فلا مقال بلغة ثالثة ممكن؛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/zh/blog/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يعرض المقالات الإنجليزية (45% من نصه إنجليزي)؛ المقالات الإنجليزية أطول محتوى في الموقع (422 إلى 1997 كلمة) مقابل متون المعالم (160 فأقل)، ومسارا 24 و48 ساعة هما ما يبحث عنه الزائر الأجنبي.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التبرير: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أعلى أثر لكل ساعة ترجمة، لأن مقالاً واحداً يجيب عن رحلة كاملة.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الخطوات: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1) توسيع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lang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إلى اللغات الخمس، وصفحات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[slug]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تحت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/zh/blog/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/de/blog/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/ru/blog/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، واقتران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key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sitemap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وhreflang. 2) ترجمة مقالي 24 و48 ساعة بالخطوط الثلاثة القائمة بعتبة 90/100. 3) إدراج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/zh/blog/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hreflang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عند أول مقال صيني.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المؤشر: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6 مقالات مترجمة خلال الدورة ووقت تفاعل ≥ 90 ثانية عليها.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الجهد: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طلب دمج بنيوي و3 جلسات ترجمة.</w:t>
      </w:r>
    </w:p>
    <w:p>
      <w:pPr>
        <w:pStyle w:val="Heading2"/>
        <w:keepNext/>
        <w:pBdr>
          <w:bottom w:val="single" w:color="9A6B1F" w:sz="6" w:space="2"/>
        </w:pBdr>
        <w:bidi/>
        <w:spacing w:after="80" w:before="200" w:line="276"/>
        <w:jc w:val="start"/>
      </w:pPr>
      <w:r>
        <w:rPr>
          <w:rFonts w:ascii="Segoe UI" w:cs="Segoe UI" w:eastAsia="Segoe UI" w:hAnsi="Segoe UI" w:hint="cs"/>
          <w:b/>
          <w:bCs/>
          <w:color w:val="006E61"/>
          <w:sz w:val="25"/>
          <w:szCs w:val="25"/>
          <w:rtl/>
          <w:lang w:bidi="ar-SA"/>
        </w:rPr>
        <w:t xml:space="preserve">3. خارطة التنفيذ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0"/>
        <w:gridCol w:w="3350"/>
        <w:gridCol w:w="1150"/>
        <w:gridCol w:w="4618"/>
      </w:tblGrid>
      <w:tr>
        <w:trPr>
          <w:tblHeader/>
        </w:trPr>
        <w:tc>
          <w:tcPr>
            <w:tcW w:type="dxa" w:w="520"/>
            <w:shd w:fill="E3EFE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/>
                <w:bCs/>
                <w:sz w:val="18"/>
                <w:szCs w:val="18"/>
                <w:rtl/>
                <w:lang w:bidi="ar-SA"/>
              </w:rPr>
              <w:t xml:space="preserve">#</w:t>
            </w:r>
          </w:p>
        </w:tc>
        <w:tc>
          <w:tcPr>
            <w:tcW w:type="dxa" w:w="3350"/>
            <w:shd w:fill="E3EFE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/>
                <w:bCs/>
                <w:sz w:val="18"/>
                <w:szCs w:val="18"/>
                <w:rtl/>
                <w:lang w:bidi="ar-SA"/>
              </w:rPr>
              <w:t xml:space="preserve">الخطوة</w:t>
            </w:r>
          </w:p>
        </w:tc>
        <w:tc>
          <w:tcPr>
            <w:tcW w:type="dxa" w:w="1150"/>
            <w:shd w:fill="E3EFE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/>
                <w:bCs/>
                <w:sz w:val="18"/>
                <w:szCs w:val="18"/>
                <w:rtl/>
                <w:lang w:bidi="ar-SA"/>
              </w:rPr>
              <w:t xml:space="preserve">يعتمد على</w:t>
            </w:r>
          </w:p>
        </w:tc>
        <w:tc>
          <w:tcPr>
            <w:tcW w:type="dxa" w:w="4618"/>
            <w:shd w:fill="E3EFE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/>
                <w:bCs/>
                <w:sz w:val="18"/>
                <w:szCs w:val="18"/>
                <w:rtl/>
                <w:lang w:bidi="ar-SA"/>
              </w:rPr>
              <w:t xml:space="preserve">فحص القبول الآلي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1</w:t>
            </w:r>
          </w:p>
        </w:tc>
        <w:tc>
          <w:tcPr>
            <w:tcW w:type="dxa" w:w="33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ع4 القياس: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analytics.ts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 والأحداث العشرة و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web-vitals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لا شيء</w:t>
            </w:r>
          </w:p>
        </w:tc>
        <w:tc>
          <w:tcPr>
            <w:tcW w:type="dxa" w:w="461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اختبار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Playwright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يثبت وصول كل حدث إلى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dataLayer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، و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npm run build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 أخضر</w:t>
            </w:r>
          </w:p>
        </w:tc>
      </w:tr>
      <w:tr>
        <w:trPr>
          <w:cantSplit/>
        </w:trPr>
        <w:tc>
          <w:tcPr>
            <w:tcW w:type="dxa" w:w="52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2</w:t>
            </w:r>
          </w:p>
        </w:tc>
        <w:tc>
          <w:tcPr>
            <w:tcW w:type="dxa" w:w="33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ع1 استقبال الزائر بلغته: الشريط و404 والبيان</w:t>
            </w:r>
          </w:p>
        </w:tc>
        <w:tc>
          <w:tcPr>
            <w:tcW w:type="dxa" w:w="11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1</w:t>
            </w:r>
          </w:p>
        </w:tc>
        <w:tc>
          <w:tcPr>
            <w:tcW w:type="dxa" w:w="4618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Playwright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بلغة متصفح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de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وzh وen على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/>
                <w:lang w:bidi="ar-SA"/>
              </w:rPr>
              <w:t xml:space="preserve">/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 يُظهر الشريط بالرابط الصحيح، ولا يُظهره عند التطابق، ويُبقيه مغلقاً بعد الإغلاق؛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axe 0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مخالفات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3</w:t>
            </w:r>
          </w:p>
        </w:tc>
        <w:tc>
          <w:tcPr>
            <w:tcW w:type="dxa" w:w="33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ع3 الأداء: تأجيل الفيديو والخطوط السيريلية وCSS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لا شيء</w:t>
            </w:r>
          </w:p>
        </w:tc>
        <w:tc>
          <w:tcPr>
            <w:tcW w:type="dxa" w:w="461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بوابة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Lighthouse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في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CI: LCP ≤ 2.5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ث على 6 صفحات؛ 0 ملف سيريلي في طلبات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/en/map/</w:t>
            </w:r>
          </w:p>
        </w:tc>
      </w:tr>
      <w:tr>
        <w:trPr>
          <w:cantSplit/>
        </w:trPr>
        <w:tc>
          <w:tcPr>
            <w:tcW w:type="dxa" w:w="52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4</w:t>
            </w:r>
          </w:p>
        </w:tc>
        <w:tc>
          <w:tcPr>
            <w:tcW w:type="dxa" w:w="33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ع5 عتبة النشر وصور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OG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بلغة الصفحة</w:t>
            </w:r>
          </w:p>
        </w:tc>
        <w:tc>
          <w:tcPr>
            <w:tcW w:type="dxa" w:w="11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لا شيء</w:t>
            </w:r>
          </w:p>
        </w:tc>
        <w:tc>
          <w:tcPr>
            <w:tcW w:type="dxa" w:w="4618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فحص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C23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sitemap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وllms.txt بلا صفحة دون العتبة؛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C1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وC2 وC3 كما هي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5</w:t>
            </w:r>
          </w:p>
        </w:tc>
        <w:tc>
          <w:tcPr>
            <w:tcW w:type="dxa" w:w="33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ع2 بوابة اللغة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C22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 وعناوين الفهرسين الصينية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4</w:t>
            </w:r>
          </w:p>
        </w:tc>
        <w:tc>
          <w:tcPr>
            <w:tcW w:type="dxa" w:w="461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C22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 ≤ 20% لكل صفحة معلَنة؛ فاحص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hreflang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متبادل بلا خلل</w:t>
            </w:r>
          </w:p>
        </w:tc>
      </w:tr>
      <w:tr>
        <w:trPr>
          <w:cantSplit/>
        </w:trPr>
        <w:tc>
          <w:tcPr>
            <w:tcW w:type="dxa" w:w="52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6</w:t>
            </w:r>
          </w:p>
        </w:tc>
        <w:tc>
          <w:tcPr>
            <w:tcW w:type="dxa" w:w="33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ف1 المشاركة وروابط الخريطة العميقة</w:t>
            </w:r>
          </w:p>
        </w:tc>
        <w:tc>
          <w:tcPr>
            <w:tcW w:type="dxa" w:w="11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1</w:t>
            </w:r>
          </w:p>
        </w:tc>
        <w:tc>
          <w:tcPr>
            <w:tcW w:type="dxa" w:w="4618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Playwright: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الزر في القوالب الأربعة، وحالة الخريطة تُكتب وتُقرأ ذهاباً وإياباً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7</w:t>
            </w:r>
          </w:p>
        </w:tc>
        <w:tc>
          <w:tcPr>
            <w:tcW w:type="dxa" w:w="33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ف2 «بالقرب مني»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1 و6</w:t>
            </w:r>
          </w:p>
        </w:tc>
        <w:tc>
          <w:tcPr>
            <w:tcW w:type="dxa" w:w="461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Playwright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بموقع محاكاة يرتّب القائمة بالمسافة؛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dist/_headers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 يحمل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geolocation=(self)</w:t>
            </w:r>
          </w:p>
        </w:tc>
      </w:tr>
      <w:tr>
        <w:trPr>
          <w:cantSplit/>
        </w:trPr>
        <w:tc>
          <w:tcPr>
            <w:tcW w:type="dxa" w:w="52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8</w:t>
            </w:r>
          </w:p>
        </w:tc>
        <w:tc>
          <w:tcPr>
            <w:tcW w:type="dxa" w:w="33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ف3 الجداول والمواعيد المبنيَنة وفقرة الإجابة وصفحة اليونسكو وllms.txt</w:t>
            </w:r>
          </w:p>
        </w:tc>
        <w:tc>
          <w:tcPr>
            <w:tcW w:type="dxa" w:w="11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4</w:t>
            </w:r>
          </w:p>
        </w:tc>
        <w:tc>
          <w:tcPr>
            <w:tcW w:type="dxa" w:w="4618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فحص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C24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JSON-LD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صالح في كل الصفحات؛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C4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وC21 كما هي</w:t>
            </w:r>
          </w:p>
        </w:tc>
      </w:tr>
      <w:tr>
        <w:trPr>
          <w:cantSplit/>
        </w:trPr>
        <w:tc>
          <w:tcPr>
            <w:tcW w:type="dxa" w:w="52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9</w:t>
            </w:r>
          </w:p>
        </w:tc>
        <w:tc>
          <w:tcPr>
            <w:tcW w:type="dxa" w:w="33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ف4 الربط الداخلي</w:t>
            </w:r>
          </w:p>
        </w:tc>
        <w:tc>
          <w:tcPr>
            <w:tcW w:type="dxa" w:w="1150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8</w:t>
            </w:r>
          </w:p>
        </w:tc>
        <w:tc>
          <w:tcPr>
            <w:tcW w:type="dxa" w:w="4618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فاحص الروابط 0 مكسور؛ كل معلم مذكور في مقال يحمل القسم</w:t>
            </w:r>
          </w:p>
        </w:tc>
      </w:tr>
      <w:tr>
        <w:trPr>
          <w:cantSplit/>
        </w:trPr>
        <w:tc>
          <w:tcPr>
            <w:tcW w:type="dxa" w:w="52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10</w:t>
            </w:r>
          </w:p>
        </w:tc>
        <w:tc>
          <w:tcPr>
            <w:tcW w:type="dxa" w:w="33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ف5 المدونة متعددة اللغات</w:t>
            </w:r>
          </w:p>
        </w:tc>
        <w:tc>
          <w:tcPr>
            <w:tcW w:type="dxa" w:w="1150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5</w:t>
            </w:r>
          </w:p>
        </w:tc>
        <w:tc>
          <w:tcPr>
            <w:tcW w:type="dxa" w:w="4618"/>
            <w:shd w:fill="FAF8F2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bidi/>
              <w:spacing w:after="0" w:before="0" w:line="250"/>
              <w:jc w:val="both"/>
            </w:pP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حاكم خطوط الترجمة ≥ 90؛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shd w:fill="F3EFE5" w:color="auto" w:val="clear"/>
                <w:rtl w:val="false"/>
                <w:lang w:bidi="ar-SA"/>
              </w:rPr>
              <w:t xml:space="preserve">C22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hreflang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/>
                <w:lang w:bidi="ar-SA"/>
              </w:rPr>
              <w:t xml:space="preserve">متبادل؛ </w:t>
            </w:r>
            <w:r>
              <w:rPr>
                <w:rFonts w:ascii="Segoe UI" w:cs="Segoe UI" w:eastAsia="Segoe UI" w:hAnsi="Segoe UI" w:hint="cs"/>
                <w:b w:val="false"/>
                <w:sz w:val="18"/>
                <w:szCs w:val="18"/>
                <w:rtl w:val="false"/>
                <w:lang w:bidi="ar-SA"/>
              </w:rPr>
              <w:t xml:space="preserve">sitemap</w:t>
            </w:r>
          </w:p>
        </w:tc>
      </w:tr>
    </w:tbl>
    <w:p>
      <w:pPr>
        <w:bidi/>
        <w:spacing w:after="60" w:before="0" w:line="276"/>
        <w:jc w:val="both"/>
      </w:pPr>
    </w:p>
    <w:p>
      <w:pPr>
        <w:bidi/>
        <w:spacing w:after="80" w:before="0" w:line="276"/>
        <w:jc w:val="both"/>
      </w:pP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كل خطوة طلب دمج مستقل يمر ببناء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CI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الحالي (البناء والفحوص الأمنية) قبل الدمج، وبعد الخطوة 1 بأربعة عشر يوماً يُسجَّل خط الأساس في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docs/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ثم تُقاس كل خطوة عليه.</w:t>
      </w:r>
    </w:p>
    <w:p>
      <w:pPr>
        <w:pStyle w:val="Heading2"/>
        <w:keepNext/>
        <w:pBdr>
          <w:bottom w:val="single" w:color="9A6B1F" w:sz="6" w:space="2"/>
        </w:pBdr>
        <w:bidi/>
        <w:spacing w:after="80" w:before="200" w:line="276"/>
        <w:jc w:val="start"/>
      </w:pPr>
      <w:r>
        <w:rPr>
          <w:rFonts w:ascii="Segoe UI" w:cs="Segoe UI" w:eastAsia="Segoe UI" w:hAnsi="Segoe UI" w:hint="cs"/>
          <w:b/>
          <w:bCs/>
          <w:color w:val="006E61"/>
          <w:sz w:val="25"/>
          <w:szCs w:val="25"/>
          <w:rtl/>
          <w:lang w:bidi="ar-SA"/>
        </w:rPr>
        <w:t xml:space="preserve">4. قائمة «لا يُمس»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فاحص التضارب على </w:t>
      </w:r>
      <w:r>
        <w:rPr>
          <w:rFonts w:ascii="Segoe UI" w:cs="Segoe UI" w:eastAsia="Segoe UI" w:hAnsi="Segoe UI" w:hint="cs"/>
          <w:b/>
          <w:bCs/>
          <w:sz w:val="21"/>
          <w:szCs w:val="21"/>
          <w:rtl w:val="false"/>
          <w:lang w:bidi="ar-SA"/>
        </w:rPr>
        <w:t xml:space="preserve">`dist/`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بفحوصه الـ24 (الأعداد المشتقة، الأرقام اللاتينية، الإسناد،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JSON-LD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بلا تقييمات، sameAs، الأسئلة الشائعة): أي فحص جديد يُضاف إليه ولا يُستبدل.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بنية الروابط وhreflang: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الشرطة الختامية من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routes.ts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، وتبادل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hreflang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على 366 صفحة، و0 رابط مكسور، وsitemap بـ356 رابطاً كلها بـ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lastmod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حقيقي، وIndexNow بعد كل نشر.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قاعدة «لا معلومة بلا مصدر»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وحجب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verified: false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الكود، ومخطط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practical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الذي يرفض البناء بلا إسناد.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الأداء المُحكم القائم: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الخطوط المستضافة ذاتياً بـ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font-display: swap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وبدائل مضبوطة المقاس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(CLS ≤ 0.011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في كل الصفحات المقيسة)، وصور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srcset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بأربعة عروض، وفيديو الهيرو بـ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preload=none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وزر إيقاف، والخرائط بلا طرف ثالث إلا البلاطات، وMapLibre المحمَّل كسولاً.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الإتاحة والسيو 100/100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في 12 صفحة، والرؤوس الأمنية، وسياسة 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robots.txt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(حجب زواحف التدريب وإبقاء زواحف البحث والإجابة).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«رحلتي»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بمشاركة القائمة عبر الرابط والاستيراد والطباعة، وقياس إحالات محركات الذكاء الاصطناعي (</w:t>
      </w:r>
      <w:r>
        <w:rPr>
          <w:rFonts w:ascii="Segoe UI" w:cs="Segoe UI" w:eastAsia="Segoe UI" w:hAnsi="Segoe UI" w:hint="cs"/>
          <w:b w:val="false"/>
          <w:sz w:val="21"/>
          <w:szCs w:val="21"/>
          <w:shd w:fill="F3EFE5" w:color="auto" w:val="clear"/>
          <w:rtl w:val="false"/>
          <w:lang w:bidi="ar-SA"/>
        </w:rPr>
        <w:t xml:space="preserve">ai_referral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مع 16 مصدراً).</w:t>
      </w:r>
    </w:p>
    <w:p>
      <w:pPr>
        <w:pStyle w:val="ListParagraph"/>
        <w:numPr>
          <w:ilvl w:val="0"/>
          <w:numId w:val="3"/>
        </w:numPr>
        <w:bidi/>
        <w:spacing w:after="40" w:before="0" w:line="276"/>
        <w:jc w:val="both"/>
      </w:pPr>
      <w:r>
        <w:rPr>
          <w:rFonts w:ascii="Segoe UI" w:cs="Segoe UI" w:eastAsia="Segoe UI" w:hAnsi="Segoe UI" w:hint="cs"/>
          <w:b/>
          <w:bCs/>
          <w:sz w:val="21"/>
          <w:szCs w:val="21"/>
          <w:rtl/>
          <w:lang w:bidi="ar-SA"/>
        </w:rPr>
        <w:t xml:space="preserve">خطوط الترجمة الثلاثة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 بعتبة 90/100 ومعاجمها الملزمة، وبحث </w:t>
      </w:r>
      <w:r>
        <w:rPr>
          <w:rFonts w:ascii="Segoe UI" w:cs="Segoe UI" w:eastAsia="Segoe UI" w:hAnsi="Segoe UI" w:hint="cs"/>
          <w:b w:val="false"/>
          <w:sz w:val="21"/>
          <w:szCs w:val="21"/>
          <w:rtl w:val="false"/>
          <w:lang w:bidi="ar-SA"/>
        </w:rPr>
        <w:t xml:space="preserve">Pagefind </w:t>
      </w:r>
      <w:r>
        <w:rPr>
          <w:rFonts w:ascii="Segoe UI" w:cs="Segoe UI" w:eastAsia="Segoe UI" w:hAnsi="Segoe UI" w:hint="cs"/>
          <w:b w:val="false"/>
          <w:sz w:val="21"/>
          <w:szCs w:val="21"/>
          <w:rtl/>
          <w:lang w:bidi="ar-SA"/>
        </w:rPr>
        <w:t xml:space="preserve">بخمس لغات، وCI (البناء والفحوص الأمنية أخضران على آخر 8 تشغيلات).</w:t>
      </w:r>
    </w:p>
    <w:sectPr>
      <w:footerReference w:type="default" r:id="rId7"/>
      <w:pgSz w:w="11906" w:h="16838" w:orient="portrait"/>
      <w:pgMar w:top="1000" w:right="1134" w:bottom="900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bidi/>
        <w:spacing w:after="0" w:line="240" w:lineRule="auto"/>
        <w:jc w:val="both"/>
      </w:pPr>
      <w:r>
        <w:rPr>
          <w:rStyle w:val="EndnoteReference"/>
          <w:rFonts w:cs="Segoe UI" w:hint="cs" w:ascii="Segoe UI" w:hAnsi="Segoe UI"/>
          <w:rtl/>
          <w:lang w:bidi="ar-SA"/>
        </w:rPr>
        <w:endnoteRef/>
      </w:r>
      <w:r>
        <w:rPr>
          <w:rFonts w:cs="Segoe UI" w:hint="cs" w:ascii="Segoe UI" w:hAnsi="Segoe UI"/>
          <w:rtl/>
          <w:lang w:bidi="ar-SA"/>
        </w:rPr>
        <w:separator/>
      </w:r>
    </w:p>
  </w:endnote>
  <w:endnote w:type="continuationSeparator" w:id="0">
    <w:p>
      <w:pPr>
        <w:bidi/>
        <w:spacing w:after="0" w:line="240" w:lineRule="auto"/>
        <w:jc w:val="both"/>
      </w:pPr>
      <w:r>
        <w:rPr>
          <w:rStyle w:val="EndnoteReference"/>
          <w:rFonts w:cs="Segoe UI" w:hint="cs" w:ascii="Segoe UI" w:hAnsi="Segoe UI"/>
          <w:rtl/>
          <w:lang w:bidi="ar-SA"/>
        </w:rPr>
        <w:endnoteRef/>
      </w:r>
      <w:r>
        <w:rPr>
          <w:rFonts w:cs="Segoe UI" w:hint="cs" w:ascii="Segoe UI" w:hAnsi="Segoe UI"/>
          <w:rtl/>
          <w:lang w:bidi="ar-SA"/>
        </w:rP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spacing w:after="0" w:before="0" w:line="276"/>
      <w:jc w:val="center"/>
    </w:pPr>
    <w:r>
      <w:rPr>
        <w:rFonts w:ascii="Segoe UI" w:cs="Segoe UI" w:eastAsia="Segoe UI" w:hAnsi="Segoe UI" w:hint="cs"/>
        <w:color w:val="5B6660"/>
        <w:sz w:val="18"/>
        <w:szCs w:val="18"/>
        <w:rtl/>
        <w:lang w:bidi="ar-SA"/>
      </w:rPr>
      <w:t xml:space="preserve">زوروا الأحساء · تشخيص التفاعل العالمي 2026-09-08 · صفحة </w:t>
    </w:r>
    <w:r>
      <w:rPr>
        <w:rFonts w:ascii="Segoe UI" w:cs="Segoe UI" w:eastAsia="Segoe UI" w:hAnsi="Segoe UI" w:hint="cs"/>
        <w:color w:val="5B6660"/>
        <w:sz w:val="18"/>
        <w:szCs w:val="18"/>
        <w:rtl/>
        <w:lang w:bidi="ar-SA"/>
      </w:rPr>
      <w:fldChar w:fldCharType="begin"/>
      <w:instrText xml:space="preserve">PAGE</w:instrText>
      <w:fldChar w:fldCharType="separate"/>
      <w:fldChar w:fldCharType="end"/>
    </w:r>
    <w:r>
      <w:rPr>
        <w:rFonts w:ascii="Segoe UI" w:cs="Segoe UI" w:eastAsia="Segoe UI" w:hAnsi="Segoe UI" w:hint="cs"/>
        <w:color w:val="5B6660"/>
        <w:sz w:val="18"/>
        <w:szCs w:val="18"/>
        <w:rtl/>
        <w:lang w:bidi="ar-SA"/>
      </w:rPr>
      <w:t xml:space="preserve"> من </w:t>
    </w:r>
    <w:r>
      <w:rPr>
        <w:rFonts w:ascii="Segoe UI" w:cs="Segoe UI" w:eastAsia="Segoe UI" w:hAnsi="Segoe UI" w:hint="cs"/>
        <w:color w:val="5B6660"/>
        <w:sz w:val="18"/>
        <w:szCs w:val="18"/>
        <w:rtl/>
        <w:lang w:bidi="ar-SA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bidi/>
        <w:spacing w:after="0" w:line="240" w:lineRule="auto"/>
        <w:jc w:val="both"/>
      </w:pPr>
      <w:r>
        <w:rPr>
          <w:rStyle w:val="FootnoteReference"/>
          <w:rFonts w:cs="Segoe UI" w:hint="cs" w:ascii="Segoe UI" w:hAnsi="Segoe UI"/>
          <w:rtl/>
          <w:lang w:bidi="ar-SA"/>
        </w:rPr>
        <w:footnoteRef/>
      </w:r>
      <w:r>
        <w:rPr>
          <w:rFonts w:cs="Segoe UI" w:hint="cs" w:ascii="Segoe UI" w:hAnsi="Segoe UI"/>
          <w:rtl/>
          <w:lang w:bidi="ar-SA"/>
        </w:rPr>
        <w:separator/>
      </w:r>
    </w:p>
  </w:footnote>
  <w:footnote w:type="continuationSeparator" w:id="0">
    <w:p>
      <w:pPr>
        <w:bidi/>
        <w:spacing w:after="0" w:line="240" w:lineRule="auto"/>
        <w:jc w:val="both"/>
      </w:pPr>
      <w:r>
        <w:rPr>
          <w:rStyle w:val="FootnoteReference"/>
          <w:rFonts w:cs="Segoe UI" w:hint="cs" w:ascii="Segoe UI" w:hAnsi="Segoe UI"/>
          <w:rtl/>
          <w:lang w:bidi="ar-SA"/>
        </w:rPr>
        <w:footnoteRef/>
      </w:r>
      <w:r>
        <w:rPr>
          <w:rFonts w:cs="Segoe UI" w:hint="cs" w:ascii="Segoe UI" w:hAnsi="Segoe UI"/>
          <w:rtl/>
          <w:lang w:bidi="ar-SA"/>
        </w:rP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right"/>
      <w:pPr>
        <w:bidi/>
        <w:ind w:left="720" w:hanging="360"/>
      </w:pPr>
    </w:lvl>
    <w:lvl w:ilvl="1" w15:tentative="1">
      <w:start w:val="1"/>
      <w:numFmt w:val="bullet"/>
      <w:lvlText w:val="○"/>
      <w:lvlJc w:val="right"/>
      <w:pPr>
        <w:bidi/>
        <w:ind w:left="1440" w:hanging="360"/>
      </w:pPr>
    </w:lvl>
    <w:lvl w:ilvl="2" w15:tentative="1">
      <w:start w:val="1"/>
      <w:numFmt w:val="bullet"/>
      <w:lvlText w:val="■"/>
      <w:lvlJc w:val="right"/>
      <w:pPr>
        <w:bidi/>
        <w:ind w:left="2160" w:hanging="360"/>
      </w:pPr>
    </w:lvl>
    <w:lvl w:ilvl="3" w15:tentative="1">
      <w:start w:val="1"/>
      <w:numFmt w:val="bullet"/>
      <w:lvlText w:val="●"/>
      <w:lvlJc w:val="right"/>
      <w:pPr>
        <w:bidi/>
        <w:ind w:left="2880" w:hanging="360"/>
      </w:pPr>
    </w:lvl>
    <w:lvl w:ilvl="4" w15:tentative="1">
      <w:start w:val="1"/>
      <w:numFmt w:val="bullet"/>
      <w:lvlText w:val="○"/>
      <w:lvlJc w:val="right"/>
      <w:pPr>
        <w:bidi/>
        <w:ind w:left="3600" w:hanging="360"/>
      </w:pPr>
    </w:lvl>
    <w:lvl w:ilvl="5" w15:tentative="1">
      <w:start w:val="1"/>
      <w:numFmt w:val="bullet"/>
      <w:lvlText w:val="■"/>
      <w:lvlJc w:val="right"/>
      <w:pPr>
        <w:bidi/>
        <w:ind w:left="4320" w:hanging="360"/>
      </w:pPr>
    </w:lvl>
    <w:lvl w:ilvl="6" w15:tentative="1">
      <w:start w:val="1"/>
      <w:numFmt w:val="bullet"/>
      <w:lvlText w:val="●"/>
      <w:lvlJc w:val="right"/>
      <w:pPr>
        <w:bidi/>
        <w:ind w:left="5040" w:hanging="360"/>
      </w:pPr>
    </w:lvl>
    <w:lvl w:ilvl="7" w15:tentative="1">
      <w:start w:val="1"/>
      <w:numFmt w:val="bullet"/>
      <w:lvlText w:val="●"/>
      <w:lvlJc w:val="right"/>
      <w:pPr>
        <w:bidi/>
        <w:ind w:left="5760" w:hanging="360"/>
      </w:pPr>
    </w:lvl>
    <w:lvl w:ilvl="8" w15:tentative="1">
      <w:start w:val="1"/>
      <w:numFmt w:val="bullet"/>
      <w:lvlText w:val="●"/>
      <w:lvlJc w:val="right"/>
      <w:pPr>
        <w:bidi/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bidi/>
        <w:ind w:star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bidi/>
        <w:ind w:star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themeFontLang w:bidi="ar-SA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 w:hint="cs"/>
        <w:sz w:val="21"/>
        <w:szCs w:val="21"/>
        <w:rtl/>
        <w:lang w:bidi="ar-SA"/>
      </w:rPr>
    </w:rPrDefault>
    <w:pPrDefault>
      <w:pPr>
        <w:bidi/>
        <w:spacing w:after="80" w:line="276"/>
        <w:jc w:val="both"/>
      </w:pPr>
    </w:pPrDefault>
  </w:docDefaults>
  <w:style w:type="paragraph" w:styleId="Title">
    <w:pPr>
      <w:bidi/>
    </w:pPr>
    <w:name w:val="Title"/>
    <w:basedOn w:val="Normal"/>
    <w:next w:val="Normal"/>
    <w:qFormat/>
    <w:rPr>
      <w:rFonts w:cs="Segoe UI" w:hint="cs" w:ascii="Segoe UI" w:hAnsi="Segoe UI"/>
      <w:sz w:val="56"/>
      <w:szCs w:val="56"/>
      <w:rtl/>
      <w:lang w:bidi="ar-SA"/>
    </w:rPr>
  </w:style>
  <w:style w:type="paragraph" w:styleId="Heading1">
    <w:pPr>
      <w:bidi/>
    </w:pPr>
    <w:name w:val="Heading 1"/>
    <w:basedOn w:val="Normal"/>
    <w:next w:val="Normal"/>
    <w:qFormat/>
    <w:rPr>
      <w:rFonts w:cs="Segoe UI" w:hint="cs" w:ascii="Segoe UI" w:hAnsi="Segoe UI"/>
      <w:color w:val="2E74B5"/>
      <w:sz w:val="32"/>
      <w:szCs w:val="32"/>
      <w:rtl/>
      <w:lang w:bidi="ar-SA"/>
    </w:rPr>
  </w:style>
  <w:style w:type="paragraph" w:styleId="Heading2">
    <w:pPr>
      <w:bidi/>
    </w:pPr>
    <w:name w:val="Heading 2"/>
    <w:basedOn w:val="Normal"/>
    <w:next w:val="Normal"/>
    <w:qFormat/>
    <w:rPr>
      <w:rFonts w:cs="Segoe UI" w:hint="cs" w:ascii="Segoe UI" w:hAnsi="Segoe UI"/>
      <w:color w:val="2E74B5"/>
      <w:sz w:val="26"/>
      <w:szCs w:val="26"/>
      <w:rtl/>
      <w:lang w:bidi="ar-SA"/>
    </w:rPr>
  </w:style>
  <w:style w:type="paragraph" w:styleId="Heading3">
    <w:pPr>
      <w:bidi/>
    </w:pPr>
    <w:name w:val="Heading 3"/>
    <w:basedOn w:val="Normal"/>
    <w:next w:val="Normal"/>
    <w:qFormat/>
    <w:rPr>
      <w:rFonts w:cs="Segoe UI" w:hint="cs" w:ascii="Segoe UI" w:hAnsi="Segoe UI"/>
      <w:color w:val="1F4D78"/>
      <w:sz w:val="24"/>
      <w:szCs w:val="24"/>
      <w:rtl/>
      <w:lang w:bidi="ar-SA"/>
    </w:rPr>
  </w:style>
  <w:style w:type="paragraph" w:styleId="Heading4">
    <w:pPr>
      <w:bidi/>
    </w:pPr>
    <w:name w:val="Heading 4"/>
    <w:basedOn w:val="Normal"/>
    <w:next w:val="Normal"/>
    <w:qFormat/>
    <w:rPr>
      <w:rFonts w:cs="Segoe UI" w:hint="cs" w:ascii="Segoe UI" w:hAnsi="Segoe UI"/>
      <w:i/>
      <w:iCs/>
      <w:color w:val="2E74B5"/>
      <w:rtl/>
      <w:lang w:bidi="ar-SA"/>
    </w:rPr>
  </w:style>
  <w:style w:type="paragraph" w:styleId="Heading5">
    <w:pPr>
      <w:bidi/>
    </w:pPr>
    <w:name w:val="Heading 5"/>
    <w:basedOn w:val="Normal"/>
    <w:next w:val="Normal"/>
    <w:qFormat/>
    <w:rPr>
      <w:rFonts w:cs="Segoe UI" w:hint="cs" w:ascii="Segoe UI" w:hAnsi="Segoe UI"/>
      <w:color w:val="2E74B5"/>
      <w:rtl/>
      <w:lang w:bidi="ar-SA"/>
    </w:rPr>
  </w:style>
  <w:style w:type="paragraph" w:styleId="Heading6">
    <w:pPr>
      <w:bidi/>
    </w:pPr>
    <w:name w:val="Heading 6"/>
    <w:basedOn w:val="Normal"/>
    <w:next w:val="Normal"/>
    <w:qFormat/>
    <w:rPr>
      <w:rFonts w:cs="Segoe UI" w:hint="cs" w:ascii="Segoe UI" w:hAnsi="Segoe UI"/>
      <w:color w:val="1F4D78"/>
      <w:rtl/>
      <w:lang w:bidi="ar-SA"/>
    </w:rPr>
  </w:style>
  <w:style w:type="paragraph" w:styleId="Strong">
    <w:pPr>
      <w:bidi/>
    </w:pPr>
    <w:name w:val="Strong"/>
    <w:basedOn w:val="Normal"/>
    <w:next w:val="Normal"/>
    <w:qFormat/>
    <w:rPr>
      <w:rFonts w:cs="Segoe UI" w:hint="cs" w:ascii="Segoe UI" w:hAnsi="Segoe UI"/>
      <w:b/>
      <w:bCs/>
      <w:rtl/>
      <w:lang w:bidi="ar-SA"/>
    </w:rPr>
  </w:style>
  <w:style w:type="paragraph" w:styleId="ListParagraph">
    <w:pPr>
      <w:bidi/>
    </w:pPr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rFonts w:cs="Segoe UI" w:hint="cs" w:ascii="Segoe UI" w:hAnsi="Segoe UI"/>
      <w:color w:val="0563C1"/>
      <w:u w:val="single"/>
      <w:rtl/>
      <w:lang w:bidi="ar-SA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cs="Segoe UI" w:hint="cs" w:ascii="Segoe UI" w:hAnsi="Segoe UI"/>
      <w:vertAlign w:val="superscript"/>
      <w:rtl/>
      <w:lang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bidi/>
      <w:spacing w:after="0" w:line="240" w:lineRule="auto"/>
    </w:pPr>
    <w:rPr>
      <w:rFonts w:cs="Segoe UI" w:hint="cs" w:ascii="Segoe UI" w:hAnsi="Segoe UI"/>
      <w:sz w:val="20"/>
      <w:szCs w:val="20"/>
      <w:rtl/>
      <w:lang w:bidi="ar-SA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cs="Segoe UI" w:hint="cs" w:ascii="Segoe UI" w:hAnsi="Segoe UI"/>
      <w:sz w:val="20"/>
      <w:szCs w:val="20"/>
      <w:rtl/>
      <w:lang w:bidi="ar-SA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cs="Segoe UI" w:hint="cs" w:ascii="Segoe UI" w:hAnsi="Segoe UI"/>
      <w:vertAlign w:val="superscript"/>
      <w:rtl/>
      <w:lang w:bidi="ar-SA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bidi/>
      <w:spacing w:after="0" w:line="240" w:lineRule="auto"/>
    </w:pPr>
    <w:rPr>
      <w:rFonts w:cs="Segoe UI" w:hint="cs" w:ascii="Segoe UI" w:hAnsi="Segoe UI"/>
      <w:sz w:val="20"/>
      <w:szCs w:val="20"/>
      <w:rtl/>
      <w:lang w:bidi="ar-SA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cs="Segoe UI" w:hint="cs" w:ascii="Segoe UI" w:hAnsi="Segoe UI"/>
      <w:sz w:val="20"/>
      <w:szCs w:val="20"/>
      <w:rtl/>
      <w:lang w:bidi="ar-SA"/>
    </w:rPr>
  </w:style>
  <w:style w:type="paragraph" w:styleId="Heading1">
    <w:name w:val="heading 1"/>
    <w:basedOn w:val="Normal"/>
    <w:next w:val="Normal"/>
    <w:qFormat/>
    <w:pPr>
      <w:bidi/>
      <w:outlineLvl w:val="0"/>
    </w:pPr>
    <w:rPr>
      <w:rFonts w:ascii="Segoe UI" w:cs="Segoe UI" w:eastAsia="Segoe UI" w:hAnsi="Segoe UI" w:hint="cs"/>
      <w:b/>
      <w:bCs/>
      <w:color w:val="006E61"/>
      <w:sz w:val="30"/>
      <w:szCs w:val="30"/>
      <w:rtl/>
      <w:lang w:bidi="ar-SA"/>
    </w:rPr>
  </w:style>
  <w:style w:type="paragraph" w:styleId="Heading2">
    <w:name w:val="heading 2"/>
    <w:basedOn w:val="Normal"/>
    <w:next w:val="Normal"/>
    <w:qFormat/>
    <w:pPr>
      <w:bidi/>
      <w:outlineLvl w:val="1"/>
    </w:pPr>
    <w:rPr>
      <w:rFonts w:ascii="Segoe UI" w:cs="Segoe UI" w:eastAsia="Segoe UI" w:hAnsi="Segoe UI" w:hint="cs"/>
      <w:b/>
      <w:bCs/>
      <w:color w:val="006E61"/>
      <w:sz w:val="25"/>
      <w:szCs w:val="25"/>
      <w:rtl/>
      <w:lang w:bidi="ar-SA"/>
    </w:rPr>
  </w:style>
  <w:style w:type="paragraph" w:styleId="Heading3">
    <w:name w:val="heading 3"/>
    <w:basedOn w:val="Normal"/>
    <w:next w:val="Normal"/>
    <w:qFormat/>
    <w:pPr>
      <w:bidi/>
      <w:outlineLvl w:val="2"/>
    </w:pPr>
    <w:rPr>
      <w:rFonts w:ascii="Segoe UI" w:cs="Segoe UI" w:eastAsia="Segoe UI" w:hAnsi="Segoe UI" w:hint="cs"/>
      <w:b/>
      <w:bCs/>
      <w:color w:val="15211E"/>
      <w:sz w:val="22"/>
      <w:szCs w:val="22"/>
      <w:rtl/>
      <w:lang w:bidi="ar-SA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تشخيص التفاعل العالمي وخطة التحسين — 2026-09-08</dc:title>
  <dc:creator>زوروا الأحساء</dc:creator>
  <cp:lastModifiedBy>Un-named</cp:lastModifiedBy>
  <cp:revision>1</cp:revision>
  <dcterms:created xsi:type="dcterms:W3CDTF">2026-09-08T09:02:26.816Z</dcterms:created>
  <dcterms:modified xsi:type="dcterms:W3CDTF">2026-09-08T09:02:26.816Z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