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pPr>
    </w:p>
    <w:p>
      <w:pPr>
        <w:spacing w:before="0" w:after="40"/>
        <w:jc w:val="center"/>
      </w:pPr>
      <w:r>
        <w:rPr>
          <w:rFonts w:ascii="Arial" w:hAnsi="Arial"/>
          <w:b/>
          <w:color w:val="0891A8"/>
          <w:sz w:val="22"/>
        </w:rPr>
        <w:t>COMPLETE TECHNICAL REFERENCE</w:t>
      </w:r>
    </w:p>
    <w:p>
      <w:pPr>
        <w:spacing w:before="40" w:after="80"/>
        <w:jc w:val="center"/>
      </w:pPr>
      <w:r>
        <w:rPr>
          <w:rFonts w:ascii="Arial" w:hAnsi="Arial"/>
          <w:b/>
          <w:color w:val="0B1422"/>
          <w:sz w:val="60"/>
        </w:rPr>
        <w:t>NeuroScan — Technical Deep-Dive</w:t>
      </w:r>
    </w:p>
    <w:p>
      <w:pPr>
        <w:spacing w:before="40" w:after="200"/>
        <w:jc w:val="center"/>
      </w:pPr>
      <w:r>
        <w:rPr>
          <w:rFonts w:ascii="Arial" w:hAnsi="Arial"/>
          <w:b w:val="0"/>
          <w:color w:val="5D6B80"/>
          <w:sz w:val="25"/>
        </w:rPr>
        <w:t>Explainable Brain-Tumor MRI Classification · ResNet50 → GradCAM → Local-LLM Report</w:t>
      </w:r>
    </w:p>
    <w:p>
      <w:pPr>
        <w:spacing w:before="0" w:after="0"/>
        <w:jc w:val="center"/>
        <w:pBdr>
          <w:bottom w:val="single" w:sz="18" w:space="6" w:color="0891A8"/>
        </w:pBdr>
      </w:pPr>
    </w:p>
    <w:p>
      <w:pPr>
        <w:spacing w:before="480" w:after="120"/>
        <w:pBdr>
          <w:bottom w:val="single" w:sz="10" w:space="6" w:color="DCE6F2"/>
        </w:pBdr>
      </w:pPr>
      <w:r>
        <w:rPr>
          <w:rFonts w:ascii="Arial" w:hAnsi="Arial"/>
          <w:b/>
          <w:color w:val="0B1422"/>
          <w:sz w:val="36"/>
        </w:rPr>
        <w:t>Contents</w:t>
      </w:r>
    </w:p>
    <w:p>
      <w:pPr>
        <w:spacing w:before="20" w:after="20"/>
      </w:pPr>
      <w:r>
        <w:rPr>
          <w:rFonts w:ascii="Arial" w:hAnsi="Arial"/>
          <w:b/>
          <w:color w:val="0891A8"/>
          <w:sz w:val="22"/>
        </w:rPr>
        <w:t xml:space="preserve">01   </w:t>
      </w:r>
      <w:r>
        <w:rPr>
          <w:rFonts w:ascii="Arial" w:hAnsi="Arial"/>
          <w:b w:val="0"/>
          <w:color w:val="1A2433"/>
          <w:sz w:val="22"/>
        </w:rPr>
        <w:t>Project Overview</w:t>
      </w:r>
    </w:p>
    <w:p>
      <w:pPr>
        <w:spacing w:before="20" w:after="20"/>
      </w:pPr>
      <w:r>
        <w:rPr>
          <w:rFonts w:ascii="Arial" w:hAnsi="Arial"/>
          <w:b/>
          <w:color w:val="0891A8"/>
          <w:sz w:val="22"/>
        </w:rPr>
        <w:t xml:space="preserve">02   </w:t>
      </w:r>
      <w:r>
        <w:rPr>
          <w:rFonts w:ascii="Arial" w:hAnsi="Arial"/>
          <w:b w:val="0"/>
          <w:color w:val="1A2433"/>
          <w:sz w:val="22"/>
        </w:rPr>
        <w:t>The Problem &amp; Motivation</w:t>
      </w:r>
    </w:p>
    <w:p>
      <w:pPr>
        <w:spacing w:before="20" w:after="20"/>
      </w:pPr>
      <w:r>
        <w:rPr>
          <w:rFonts w:ascii="Arial" w:hAnsi="Arial"/>
          <w:b/>
          <w:color w:val="0891A8"/>
          <w:sz w:val="22"/>
        </w:rPr>
        <w:t xml:space="preserve">03   </w:t>
      </w:r>
      <w:r>
        <w:rPr>
          <w:rFonts w:ascii="Arial" w:hAnsi="Arial"/>
          <w:b w:val="0"/>
          <w:color w:val="1A2433"/>
          <w:sz w:val="22"/>
        </w:rPr>
        <w:t>The Four Classes</w:t>
      </w:r>
    </w:p>
    <w:p>
      <w:pPr>
        <w:spacing w:before="20" w:after="20"/>
      </w:pPr>
      <w:r>
        <w:rPr>
          <w:rFonts w:ascii="Arial" w:hAnsi="Arial"/>
          <w:b/>
          <w:color w:val="0891A8"/>
          <w:sz w:val="22"/>
        </w:rPr>
        <w:t xml:space="preserve">04   </w:t>
      </w:r>
      <w:r>
        <w:rPr>
          <w:rFonts w:ascii="Arial" w:hAnsi="Arial"/>
          <w:b w:val="0"/>
          <w:color w:val="1A2433"/>
          <w:sz w:val="22"/>
        </w:rPr>
        <w:t>System Architecture</w:t>
      </w:r>
    </w:p>
    <w:p>
      <w:pPr>
        <w:spacing w:before="20" w:after="20"/>
      </w:pPr>
      <w:r>
        <w:rPr>
          <w:rFonts w:ascii="Arial" w:hAnsi="Arial"/>
          <w:b/>
          <w:color w:val="0891A8"/>
          <w:sz w:val="22"/>
        </w:rPr>
        <w:t xml:space="preserve">05   </w:t>
      </w:r>
      <w:r>
        <w:rPr>
          <w:rFonts w:ascii="Arial" w:hAnsi="Arial"/>
          <w:b w:val="0"/>
          <w:color w:val="1A2433"/>
          <w:sz w:val="22"/>
        </w:rPr>
        <w:t>The Dataset &amp; Preprocessing</w:t>
      </w:r>
    </w:p>
    <w:p>
      <w:pPr>
        <w:spacing w:before="20" w:after="20"/>
      </w:pPr>
      <w:r>
        <w:rPr>
          <w:rFonts w:ascii="Arial" w:hAnsi="Arial"/>
          <w:b/>
          <w:color w:val="0891A8"/>
          <w:sz w:val="22"/>
        </w:rPr>
        <w:t xml:space="preserve">06   </w:t>
      </w:r>
      <w:r>
        <w:rPr>
          <w:rFonts w:ascii="Arial" w:hAnsi="Arial"/>
          <w:b w:val="0"/>
          <w:color w:val="1A2433"/>
          <w:sz w:val="22"/>
        </w:rPr>
        <w:t>Data Augmentation</w:t>
      </w:r>
    </w:p>
    <w:p>
      <w:pPr>
        <w:spacing w:before="20" w:after="20"/>
      </w:pPr>
      <w:r>
        <w:rPr>
          <w:rFonts w:ascii="Arial" w:hAnsi="Arial"/>
          <w:b/>
          <w:color w:val="0891A8"/>
          <w:sz w:val="22"/>
        </w:rPr>
        <w:t xml:space="preserve">07   </w:t>
      </w:r>
      <w:r>
        <w:rPr>
          <w:rFonts w:ascii="Arial" w:hAnsi="Arial"/>
          <w:b w:val="0"/>
          <w:color w:val="1A2433"/>
          <w:sz w:val="22"/>
        </w:rPr>
        <w:t>The Model: ResNet50 + Transfer Learning</w:t>
      </w:r>
    </w:p>
    <w:p>
      <w:pPr>
        <w:spacing w:before="20" w:after="20"/>
      </w:pPr>
      <w:r>
        <w:rPr>
          <w:rFonts w:ascii="Arial" w:hAnsi="Arial"/>
          <w:b/>
          <w:color w:val="0891A8"/>
          <w:sz w:val="22"/>
        </w:rPr>
        <w:t xml:space="preserve">08   </w:t>
      </w:r>
      <w:r>
        <w:rPr>
          <w:rFonts w:ascii="Arial" w:hAnsi="Arial"/>
          <w:b w:val="0"/>
          <w:color w:val="1A2433"/>
          <w:sz w:val="22"/>
        </w:rPr>
        <w:t>Training Procedure &amp; Results</w:t>
      </w:r>
    </w:p>
    <w:p>
      <w:pPr>
        <w:spacing w:before="20" w:after="20"/>
      </w:pPr>
      <w:r>
        <w:rPr>
          <w:rFonts w:ascii="Arial" w:hAnsi="Arial"/>
          <w:b/>
          <w:color w:val="0891A8"/>
          <w:sz w:val="22"/>
        </w:rPr>
        <w:t xml:space="preserve">09   </w:t>
      </w:r>
      <w:r>
        <w:rPr>
          <w:rFonts w:ascii="Arial" w:hAnsi="Arial"/>
          <w:b w:val="0"/>
          <w:color w:val="1A2433"/>
          <w:sz w:val="22"/>
        </w:rPr>
        <w:t>Honest Limitations &amp; the “Claimed” Accuracy</w:t>
      </w:r>
    </w:p>
    <w:p>
      <w:pPr>
        <w:spacing w:before="20" w:after="20"/>
      </w:pPr>
      <w:r>
        <w:rPr>
          <w:rFonts w:ascii="Arial" w:hAnsi="Arial"/>
          <w:b/>
          <w:color w:val="0891A8"/>
          <w:sz w:val="22"/>
        </w:rPr>
        <w:t xml:space="preserve">10   </w:t>
      </w:r>
      <w:r>
        <w:rPr>
          <w:rFonts w:ascii="Arial" w:hAnsi="Arial"/>
          <w:b w:val="0"/>
          <w:color w:val="1A2433"/>
          <w:sz w:val="22"/>
        </w:rPr>
        <w:t>Inference Flow</w:t>
      </w:r>
    </w:p>
    <w:p>
      <w:pPr>
        <w:spacing w:before="20" w:after="20"/>
      </w:pPr>
      <w:r>
        <w:rPr>
          <w:rFonts w:ascii="Arial" w:hAnsi="Arial"/>
          <w:b/>
          <w:color w:val="0891A8"/>
          <w:sz w:val="22"/>
        </w:rPr>
        <w:t xml:space="preserve">11   </w:t>
      </w:r>
      <w:r>
        <w:rPr>
          <w:rFonts w:ascii="Arial" w:hAnsi="Arial"/>
          <w:b w:val="0"/>
          <w:color w:val="1A2433"/>
          <w:sz w:val="22"/>
        </w:rPr>
        <w:t>Explainability: GradCAM</w:t>
      </w:r>
    </w:p>
    <w:p>
      <w:pPr>
        <w:spacing w:before="20" w:after="20"/>
      </w:pPr>
      <w:r>
        <w:rPr>
          <w:rFonts w:ascii="Arial" w:hAnsi="Arial"/>
          <w:b/>
          <w:color w:val="0891A8"/>
          <w:sz w:val="22"/>
        </w:rPr>
        <w:t xml:space="preserve">12   </w:t>
      </w:r>
      <w:r>
        <w:rPr>
          <w:rFonts w:ascii="Arial" w:hAnsi="Arial"/>
          <w:b w:val="0"/>
          <w:color w:val="1A2433"/>
          <w:sz w:val="22"/>
        </w:rPr>
        <w:t>The Local-LLM Clinical Report</w:t>
      </w:r>
    </w:p>
    <w:p>
      <w:pPr>
        <w:spacing w:before="20" w:after="20"/>
      </w:pPr>
      <w:r>
        <w:rPr>
          <w:rFonts w:ascii="Arial" w:hAnsi="Arial"/>
          <w:b/>
          <w:color w:val="0891A8"/>
          <w:sz w:val="22"/>
        </w:rPr>
        <w:t xml:space="preserve">13   </w:t>
      </w:r>
      <w:r>
        <w:rPr>
          <w:rFonts w:ascii="Arial" w:hAnsi="Arial"/>
          <w:b w:val="0"/>
          <w:color w:val="1A2433"/>
          <w:sz w:val="22"/>
        </w:rPr>
        <w:t>Backend: FastAPI</w:t>
      </w:r>
    </w:p>
    <w:p>
      <w:pPr>
        <w:spacing w:before="20" w:after="20"/>
      </w:pPr>
      <w:r>
        <w:rPr>
          <w:rFonts w:ascii="Arial" w:hAnsi="Arial"/>
          <w:b/>
          <w:color w:val="0891A8"/>
          <w:sz w:val="22"/>
        </w:rPr>
        <w:t xml:space="preserve">14   </w:t>
      </w:r>
      <w:r>
        <w:rPr>
          <w:rFonts w:ascii="Arial" w:hAnsi="Arial"/>
          <w:b w:val="0"/>
          <w:color w:val="1A2433"/>
          <w:sz w:val="22"/>
        </w:rPr>
        <w:t>Frontend: the Next.js Web App</w:t>
      </w:r>
    </w:p>
    <w:p>
      <w:pPr>
        <w:spacing w:before="20" w:after="20"/>
      </w:pPr>
      <w:r>
        <w:rPr>
          <w:rFonts w:ascii="Arial" w:hAnsi="Arial"/>
          <w:b/>
          <w:color w:val="0891A8"/>
          <w:sz w:val="22"/>
        </w:rPr>
        <w:t xml:space="preserve">15   </w:t>
      </w:r>
      <w:r>
        <w:rPr>
          <w:rFonts w:ascii="Arial" w:hAnsi="Arial"/>
          <w:b w:val="0"/>
          <w:color w:val="1A2433"/>
          <w:sz w:val="22"/>
        </w:rPr>
        <w:t>Deployment: Docker + nginx</w:t>
      </w:r>
    </w:p>
    <w:p>
      <w:pPr>
        <w:spacing w:before="20" w:after="20"/>
      </w:pPr>
      <w:r>
        <w:rPr>
          <w:rFonts w:ascii="Arial" w:hAnsi="Arial"/>
          <w:b/>
          <w:color w:val="0891A8"/>
          <w:sz w:val="22"/>
        </w:rPr>
        <w:t xml:space="preserve">16   </w:t>
      </w:r>
      <w:r>
        <w:rPr>
          <w:rFonts w:ascii="Arial" w:hAnsi="Arial"/>
          <w:b w:val="0"/>
          <w:color w:val="1A2433"/>
          <w:sz w:val="22"/>
        </w:rPr>
        <w:t>The Full Tech Stack</w:t>
      </w:r>
    </w:p>
    <w:p>
      <w:pPr>
        <w:spacing w:before="20" w:after="20"/>
      </w:pPr>
      <w:r>
        <w:rPr>
          <w:rFonts w:ascii="Arial" w:hAnsi="Arial"/>
          <w:b/>
          <w:color w:val="0891A8"/>
          <w:sz w:val="22"/>
        </w:rPr>
        <w:t xml:space="preserve">17   </w:t>
      </w:r>
      <w:r>
        <w:rPr>
          <w:rFonts w:ascii="Arial" w:hAnsi="Arial"/>
          <w:b w:val="0"/>
          <w:color w:val="1A2433"/>
          <w:sz w:val="22"/>
        </w:rPr>
        <w:t>How to Run It Yourself</w:t>
      </w:r>
    </w:p>
    <w:p>
      <w:pPr>
        <w:spacing w:before="20" w:after="20"/>
      </w:pPr>
      <w:r>
        <w:rPr>
          <w:rFonts w:ascii="Arial" w:hAnsi="Arial"/>
          <w:b/>
          <w:color w:val="0891A8"/>
          <w:sz w:val="22"/>
        </w:rPr>
        <w:t xml:space="preserve">18   </w:t>
      </w:r>
      <w:r>
        <w:rPr>
          <w:rFonts w:ascii="Arial" w:hAnsi="Arial"/>
          <w:b w:val="0"/>
          <w:color w:val="1A2433"/>
          <w:sz w:val="22"/>
        </w:rPr>
        <w:t>Anticipated Questions &amp; Answers</w:t>
      </w:r>
    </w:p>
    <w:p>
      <w:pPr>
        <w:spacing w:before="20" w:after="20"/>
      </w:pPr>
      <w:r>
        <w:rPr>
          <w:rFonts w:ascii="Arial" w:hAnsi="Arial"/>
          <w:b/>
          <w:color w:val="0891A8"/>
          <w:sz w:val="22"/>
        </w:rPr>
        <w:t xml:space="preserve">19   </w:t>
      </w:r>
      <w:r>
        <w:rPr>
          <w:rFonts w:ascii="Arial" w:hAnsi="Arial"/>
          <w:b w:val="0"/>
          <w:color w:val="1A2433"/>
          <w:sz w:val="22"/>
        </w:rPr>
        <w:t>Glossary of Key Terms</w:t>
      </w:r>
    </w:p>
    <w:p>
      <w:pPr>
        <w:spacing w:before="20" w:after="20"/>
      </w:pPr>
      <w:r>
        <w:rPr>
          <w:rFonts w:ascii="Arial" w:hAnsi="Arial"/>
          <w:b/>
          <w:color w:val="0891A8"/>
          <w:sz w:val="22"/>
        </w:rPr>
        <w:t xml:space="preserve">20   </w:t>
      </w:r>
      <w:r>
        <w:rPr>
          <w:rFonts w:ascii="Arial" w:hAnsi="Arial"/>
          <w:b w:val="0"/>
          <w:color w:val="1A2433"/>
          <w:sz w:val="22"/>
        </w:rPr>
        <w:t>Conclusion &amp; Future Work</w:t>
      </w:r>
    </w:p>
    <w:p>
      <w:r>
        <w:br w:type="page"/>
      </w:r>
    </w:p>
    <w:p>
      <w:pPr>
        <w:spacing w:before="320" w:after="80"/>
        <w:pBdr>
          <w:bottom w:val="single" w:sz="12" w:space="6" w:color="DCE6F2"/>
        </w:pBdr>
      </w:pPr>
      <w:r>
        <w:rPr>
          <w:rFonts w:ascii="Arial" w:hAnsi="Arial"/>
          <w:b/>
          <w:color w:val="0891A8"/>
          <w:sz w:val="40"/>
        </w:rPr>
        <w:t xml:space="preserve">01   </w:t>
      </w:r>
      <w:r>
        <w:rPr>
          <w:rFonts w:ascii="Arial" w:hAnsi="Arial"/>
          <w:b/>
          <w:color w:val="0B1422"/>
          <w:sz w:val="40"/>
        </w:rPr>
        <w:t>Project Overview</w:t>
      </w:r>
    </w:p>
    <w:p>
      <w:pPr>
        <w:spacing w:before="80" w:after="120"/>
      </w:pPr>
      <w:r>
        <w:rPr>
          <w:rFonts w:ascii="Arial" w:hAnsi="Arial"/>
          <w:b w:val="0"/>
          <w:color w:val="5D6B80"/>
          <w:sz w:val="25"/>
        </w:rPr>
        <w:t>NeuroScan is an explainable deep-learning system that classifies a brain-MRI scan into one of four categories and then explains itself — visually and in words.</w:t>
      </w:r>
    </w:p>
    <w:p>
      <w:pPr>
        <w:spacing w:before="80" w:after="80"/>
      </w:pPr>
      <w:r>
        <w:rPr>
          <w:rFonts w:ascii="Arial" w:hAnsi="Arial"/>
          <w:b w:val="0"/>
          <w:color w:val="1A2433"/>
          <w:sz w:val="22"/>
        </w:rPr>
        <w:t>Most student ML projects stop at a prediction. NeuroScan goes three steps further: it (1) classifies the scan with a fine-tuned ResNet50 convolutional network, (2) draws a GradCAM heatmap showing exactly which pixels drove that decision, and (3) writes a short, structured clinical report using a local large-language model. The whole pipeline runs offline on the user's own machine — no cloud services and no API keys.</w:t>
      </w:r>
    </w:p>
    <w:p>
      <w:pPr>
        <w:spacing w:before="240" w:after="40"/>
      </w:pPr>
      <w:r>
        <w:rPr>
          <w:rFonts w:ascii="Arial" w:hAnsi="Arial"/>
          <w:b/>
          <w:color w:val="0B1422"/>
          <w:sz w:val="27"/>
        </w:rPr>
        <w:t>The three pillars</w:t>
      </w:r>
    </w:p>
    <w:p>
      <w:pPr>
        <w:pStyle w:val="ListBullet"/>
        <w:spacing w:before="80" w:after="80"/>
      </w:pPr>
      <w:r>
        <w:rPr>
          <w:rFonts w:ascii="Arial" w:hAnsi="Arial"/>
          <w:b w:val="0"/>
          <w:color w:val="1A2433"/>
          <w:sz w:val="22"/>
        </w:rPr>
        <w:t>Classification — what is it? A ResNet50 network outputs a probability for each of the four classes.</w:t>
      </w:r>
    </w:p>
    <w:p>
      <w:pPr>
        <w:pStyle w:val="ListBullet"/>
        <w:spacing w:before="80" w:after="80"/>
      </w:pPr>
      <w:r>
        <w:rPr>
          <w:rFonts w:ascii="Arial" w:hAnsi="Arial"/>
          <w:b w:val="0"/>
          <w:color w:val="1A2433"/>
          <w:sz w:val="22"/>
        </w:rPr>
        <w:t>Explainability — why did it say that? GradCAM highlights the regions the model relied on.</w:t>
      </w:r>
    </w:p>
    <w:p>
      <w:pPr>
        <w:pStyle w:val="ListBullet"/>
        <w:spacing w:before="80" w:after="80"/>
      </w:pPr>
      <w:r>
        <w:rPr>
          <w:rFonts w:ascii="Arial" w:hAnsi="Arial"/>
          <w:b w:val="0"/>
          <w:color w:val="1A2433"/>
          <w:sz w:val="22"/>
        </w:rPr>
        <w:t>Communication — what does it mean? A local LLM turns the numbers into a readable report.</w:t>
      </w:r>
    </w:p>
    <w:p>
      <w:pPr>
        <w:spacing w:before="80" w:after="80"/>
      </w:pPr>
      <w:r>
        <w:rPr>
          <w:rFonts w:ascii="Arial" w:hAnsi="Arial"/>
          <w:b w:val="0"/>
          <w:color w:val="1A2433"/>
          <w:sz w:val="22"/>
        </w:rPr>
        <w:t>There are two front-ends over the same model core: a professional Next.js + FastAPI web app (the primary product) and a legacy Gradio interface kept for quick local demos.</w:t>
      </w:r>
    </w:p>
    <w:tbl>
      <w:tblPr>
        <w:tblW w:type="auto" w:w="0"/>
        <w:tblLook w:firstColumn="1" w:firstRow="1" w:lastColumn="0" w:lastRow="0" w:noHBand="0" w:noVBand="1" w:val="04A0"/>
      </w:tblPr>
      <w:tblGrid>
        <w:gridCol w:w="9648"/>
      </w:tblGrid>
      <w:tr>
        <w:tc>
          <w:tcPr>
            <w:tcW w:type="dxa" w:w="9648"/>
            <w:shd w:val="clear" w:color="auto" w:fill="FBF1E2"/>
            <w:tcBorders>
              <w:start w:val="single" w:sz="24" w:space="0" w:color="B9701A"/>
            </w:tcBorders>
          </w:tcPr>
          <w:p>
            <w:pPr>
              <w:spacing w:before="60" w:after="20"/>
            </w:pPr>
            <w:r>
              <w:rPr>
                <w:rFonts w:ascii="Arial" w:hAnsi="Arial"/>
                <w:b/>
                <w:color w:val="0B1422"/>
                <w:sz w:val="23"/>
              </w:rPr>
              <w:t>Important · Scope &amp; safety</w:t>
            </w:r>
          </w:p>
          <w:p>
            <w:pPr>
              <w:spacing w:before="20" w:after="60"/>
            </w:pPr>
            <w:r>
              <w:rPr>
                <w:rFonts w:ascii="Arial" w:hAnsi="Arial"/>
                <w:b w:val="0"/>
                <w:color w:val="1A2433"/>
                <w:sz w:val="22"/>
              </w:rPr>
              <w:t>NeuroScan is an educational and research prototype. It is not a medical device and must never be used for real diagnosis or treatment decisions.</w:t>
            </w:r>
          </w:p>
        </w:tc>
      </w:tr>
    </w:tbl>
    <w:p>
      <w:pPr>
        <w:spacing w:before="40" w:after="120"/>
      </w:pPr>
    </w:p>
    <w:p>
      <w:pPr>
        <w:spacing w:before="320" w:after="80"/>
        <w:pBdr>
          <w:bottom w:val="single" w:sz="12" w:space="6" w:color="DCE6F2"/>
        </w:pBdr>
      </w:pPr>
      <w:r>
        <w:rPr>
          <w:rFonts w:ascii="Arial" w:hAnsi="Arial"/>
          <w:b/>
          <w:color w:val="0891A8"/>
          <w:sz w:val="40"/>
        </w:rPr>
        <w:t xml:space="preserve">02   </w:t>
      </w:r>
      <w:r>
        <w:rPr>
          <w:rFonts w:ascii="Arial" w:hAnsi="Arial"/>
          <w:b/>
          <w:color w:val="0B1422"/>
          <w:sz w:val="40"/>
        </w:rPr>
        <w:t>The Problem &amp; Motivation</w:t>
      </w:r>
    </w:p>
    <w:p>
      <w:pPr>
        <w:spacing w:before="80" w:after="120"/>
      </w:pPr>
      <w:r>
        <w:rPr>
          <w:rFonts w:ascii="Arial" w:hAnsi="Arial"/>
          <w:b w:val="0"/>
          <w:color w:val="5D6B80"/>
          <w:sz w:val="25"/>
        </w:rPr>
        <w:t>Reading brain MRIs is slow, requires a trained radiologist, and varies between readers. AI can assist — but only if clinicians can trust and understand it.</w:t>
      </w:r>
    </w:p>
    <w:p>
      <w:pPr>
        <w:spacing w:before="80" w:after="80"/>
      </w:pPr>
      <w:r>
        <w:rPr>
          <w:rFonts w:ascii="Arial" w:hAnsi="Arial"/>
          <w:b w:val="0"/>
          <w:color w:val="1A2433"/>
          <w:sz w:val="22"/>
        </w:rPr>
        <w:t>A bare classifier that only prints "Glioma, 92%" is hard to trust: the user cannot tell whether the model looked at the tumor or at an irrelevant artifact. This is the classic "black box" problem in medical AI. NeuroScan is designed around the idea that an AI tool in medicine must be transparent and communicative, not just accurate.</w:t>
      </w:r>
    </w:p>
    <w:p>
      <w:pPr>
        <w:spacing w:before="240" w:after="40"/>
      </w:pPr>
      <w:r>
        <w:rPr>
          <w:rFonts w:ascii="Arial" w:hAnsi="Arial"/>
          <w:b/>
          <w:color w:val="0B1422"/>
          <w:sz w:val="27"/>
        </w:rPr>
        <w:t>Design goals</w:t>
      </w:r>
    </w:p>
    <w:p>
      <w:pPr>
        <w:pStyle w:val="ListBullet"/>
        <w:spacing w:before="80" w:after="80"/>
      </w:pPr>
      <w:r>
        <w:rPr>
          <w:rFonts w:ascii="Arial" w:hAnsi="Arial"/>
          <w:b w:val="0"/>
          <w:color w:val="1A2433"/>
          <w:sz w:val="22"/>
        </w:rPr>
        <w:t>Accuracy — a strong classifier via transfer learning on a pretrained backbone.</w:t>
      </w:r>
    </w:p>
    <w:p>
      <w:pPr>
        <w:pStyle w:val="ListBullet"/>
        <w:spacing w:before="80" w:after="80"/>
      </w:pPr>
      <w:r>
        <w:rPr>
          <w:rFonts w:ascii="Arial" w:hAnsi="Arial"/>
          <w:b w:val="0"/>
          <w:color w:val="1A2433"/>
          <w:sz w:val="22"/>
        </w:rPr>
        <w:t>Transparency — every prediction comes with a visual explanation (GradCAM).</w:t>
      </w:r>
    </w:p>
    <w:p>
      <w:pPr>
        <w:pStyle w:val="ListBullet"/>
        <w:spacing w:before="80" w:after="80"/>
      </w:pPr>
      <w:r>
        <w:rPr>
          <w:rFonts w:ascii="Arial" w:hAnsi="Arial"/>
          <w:b w:val="0"/>
          <w:color w:val="1A2433"/>
          <w:sz w:val="22"/>
        </w:rPr>
        <w:t>Accessibility — a clear, written report a non-expert can read.</w:t>
      </w:r>
    </w:p>
    <w:p>
      <w:pPr>
        <w:pStyle w:val="ListBullet"/>
        <w:spacing w:before="80" w:after="80"/>
      </w:pPr>
      <w:r>
        <w:rPr>
          <w:rFonts w:ascii="Arial" w:hAnsi="Arial"/>
          <w:b w:val="0"/>
          <w:color w:val="1A2433"/>
          <w:sz w:val="22"/>
        </w:rPr>
        <w:t>Privacy — fully local; medical images never leave the machine.</w:t>
      </w:r>
    </w:p>
    <w:p>
      <w:pPr>
        <w:pStyle w:val="ListBullet"/>
        <w:spacing w:before="80" w:after="80"/>
      </w:pPr>
      <w:r>
        <w:rPr>
          <w:rFonts w:ascii="Arial" w:hAnsi="Arial"/>
          <w:b w:val="0"/>
          <w:color w:val="1A2433"/>
          <w:sz w:val="22"/>
        </w:rPr>
        <w:t>Honesty — the app states its own limitations instead of overclaiming.</w:t>
      </w:r>
    </w:p>
    <w:p>
      <w:pPr>
        <w:spacing w:before="320" w:after="80"/>
        <w:pBdr>
          <w:bottom w:val="single" w:sz="12" w:space="6" w:color="DCE6F2"/>
        </w:pBdr>
      </w:pPr>
      <w:r>
        <w:rPr>
          <w:rFonts w:ascii="Arial" w:hAnsi="Arial"/>
          <w:b/>
          <w:color w:val="0891A8"/>
          <w:sz w:val="40"/>
        </w:rPr>
        <w:t xml:space="preserve">03   </w:t>
      </w:r>
      <w:r>
        <w:rPr>
          <w:rFonts w:ascii="Arial" w:hAnsi="Arial"/>
          <w:b/>
          <w:color w:val="0B1422"/>
          <w:sz w:val="40"/>
        </w:rPr>
        <w:t>The Four Classes</w:t>
      </w:r>
    </w:p>
    <w:p>
      <w:pPr>
        <w:spacing w:before="80" w:after="120"/>
      </w:pPr>
      <w:r>
        <w:rPr>
          <w:rFonts w:ascii="Arial" w:hAnsi="Arial"/>
          <w:b w:val="0"/>
          <w:color w:val="5D6B80"/>
          <w:sz w:val="25"/>
        </w:rPr>
        <w:t>The model distinguishes three tumor types plus a healthy class. The index order is fixed everywhere in the code because the trained weights depend on it.</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DCE6F2"/>
            <w:vAlign w:val="center"/>
          </w:tcPr>
          <w:p>
            <w:pPr>
              <w:spacing w:before="40" w:after="40"/>
            </w:pPr>
            <w:r>
              <w:rPr>
                <w:rFonts w:ascii="Arial" w:hAnsi="Arial"/>
                <w:b/>
                <w:color w:val="0B1422"/>
                <w:sz w:val="21"/>
              </w:rPr>
              <w:t>Index</w:t>
            </w:r>
          </w:p>
        </w:tc>
        <w:tc>
          <w:tcPr>
            <w:tcW w:type="dxa" w:w="3216"/>
            <w:shd w:val="clear" w:color="auto" w:fill="DCE6F2"/>
            <w:vAlign w:val="center"/>
          </w:tcPr>
          <w:p>
            <w:pPr>
              <w:spacing w:before="40" w:after="40"/>
            </w:pPr>
            <w:r>
              <w:rPr>
                <w:rFonts w:ascii="Arial" w:hAnsi="Arial"/>
                <w:b/>
                <w:color w:val="0B1422"/>
                <w:sz w:val="21"/>
              </w:rPr>
              <w:t>Class</w:t>
            </w:r>
          </w:p>
        </w:tc>
        <w:tc>
          <w:tcPr>
            <w:tcW w:type="dxa" w:w="3216"/>
            <w:shd w:val="clear" w:color="auto" w:fill="DCE6F2"/>
            <w:vAlign w:val="center"/>
          </w:tcPr>
          <w:p>
            <w:pPr>
              <w:spacing w:before="40" w:after="40"/>
            </w:pPr>
            <w:r>
              <w:rPr>
                <w:rFonts w:ascii="Arial" w:hAnsi="Arial"/>
                <w:b/>
                <w:color w:val="0B1422"/>
                <w:sz w:val="21"/>
              </w:rPr>
              <w:t>Medical description</w:t>
            </w:r>
          </w:p>
        </w:tc>
      </w:tr>
      <w:tr>
        <w:tc>
          <w:tcPr>
            <w:tcW w:type="dxa" w:w="3216"/>
            <w:vAlign w:val="center"/>
          </w:tcPr>
          <w:p>
            <w:pPr>
              <w:spacing w:before="40" w:after="40"/>
            </w:pPr>
            <w:r>
              <w:rPr>
                <w:rFonts w:ascii="Arial" w:hAnsi="Arial"/>
                <w:b/>
                <w:color w:val="1A2433"/>
                <w:sz w:val="21"/>
              </w:rPr>
              <w:t>0</w:t>
            </w:r>
          </w:p>
        </w:tc>
        <w:tc>
          <w:tcPr>
            <w:tcW w:type="dxa" w:w="3216"/>
            <w:vAlign w:val="center"/>
          </w:tcPr>
          <w:p>
            <w:pPr>
              <w:spacing w:before="40" w:after="40"/>
            </w:pPr>
            <w:r>
              <w:rPr>
                <w:rFonts w:ascii="Arial" w:hAnsi="Arial"/>
                <w:b w:val="0"/>
                <w:color w:val="1A2433"/>
                <w:sz w:val="21"/>
              </w:rPr>
              <w:t>Pituitary</w:t>
            </w:r>
          </w:p>
        </w:tc>
        <w:tc>
          <w:tcPr>
            <w:tcW w:type="dxa" w:w="3216"/>
            <w:vAlign w:val="center"/>
          </w:tcPr>
          <w:p>
            <w:pPr>
              <w:spacing w:before="40" w:after="40"/>
            </w:pPr>
            <w:r>
              <w:rPr>
                <w:rFonts w:ascii="Arial" w:hAnsi="Arial"/>
                <w:b w:val="0"/>
                <w:color w:val="1A2433"/>
                <w:sz w:val="21"/>
              </w:rPr>
              <w:t>A tumor of the pituitary gland at the base of the brain. Most are benign (non-cancerous).</w:t>
            </w:r>
          </w:p>
        </w:tc>
      </w:tr>
      <w:tr>
        <w:tc>
          <w:tcPr>
            <w:tcW w:type="dxa" w:w="3216"/>
            <w:vAlign w:val="center"/>
          </w:tcPr>
          <w:p>
            <w:pPr>
              <w:spacing w:before="40" w:after="40"/>
            </w:pPr>
            <w:r>
              <w:rPr>
                <w:rFonts w:ascii="Arial" w:hAnsi="Arial"/>
                <w:b/>
                <w:color w:val="1A2433"/>
                <w:sz w:val="21"/>
              </w:rPr>
              <w:t>1</w:t>
            </w:r>
          </w:p>
        </w:tc>
        <w:tc>
          <w:tcPr>
            <w:tcW w:type="dxa" w:w="3216"/>
            <w:vAlign w:val="center"/>
          </w:tcPr>
          <w:p>
            <w:pPr>
              <w:spacing w:before="40" w:after="40"/>
            </w:pPr>
            <w:r>
              <w:rPr>
                <w:rFonts w:ascii="Arial" w:hAnsi="Arial"/>
                <w:b w:val="0"/>
                <w:color w:val="1A2433"/>
                <w:sz w:val="21"/>
              </w:rPr>
              <w:t>No Tumor</w:t>
            </w:r>
          </w:p>
        </w:tc>
        <w:tc>
          <w:tcPr>
            <w:tcW w:type="dxa" w:w="3216"/>
            <w:vAlign w:val="center"/>
          </w:tcPr>
          <w:p>
            <w:pPr>
              <w:spacing w:before="40" w:after="40"/>
            </w:pPr>
            <w:r>
              <w:rPr>
                <w:rFonts w:ascii="Arial" w:hAnsi="Arial"/>
                <w:b w:val="0"/>
                <w:color w:val="1A2433"/>
                <w:sz w:val="21"/>
              </w:rPr>
              <w:t>A healthy scan in which no tumor is detected. Note the space in the label string.</w:t>
            </w:r>
          </w:p>
        </w:tc>
      </w:tr>
      <w:tr>
        <w:tc>
          <w:tcPr>
            <w:tcW w:type="dxa" w:w="3216"/>
            <w:vAlign w:val="center"/>
          </w:tcPr>
          <w:p>
            <w:pPr>
              <w:spacing w:before="40" w:after="40"/>
            </w:pPr>
            <w:r>
              <w:rPr>
                <w:rFonts w:ascii="Arial" w:hAnsi="Arial"/>
                <w:b/>
                <w:color w:val="1A2433"/>
                <w:sz w:val="21"/>
              </w:rPr>
              <w:t>2</w:t>
            </w:r>
          </w:p>
        </w:tc>
        <w:tc>
          <w:tcPr>
            <w:tcW w:type="dxa" w:w="3216"/>
            <w:vAlign w:val="center"/>
          </w:tcPr>
          <w:p>
            <w:pPr>
              <w:spacing w:before="40" w:after="40"/>
            </w:pPr>
            <w:r>
              <w:rPr>
                <w:rFonts w:ascii="Arial" w:hAnsi="Arial"/>
                <w:b w:val="0"/>
                <w:color w:val="1A2433"/>
                <w:sz w:val="21"/>
              </w:rPr>
              <w:t>Meningioma</w:t>
            </w:r>
          </w:p>
        </w:tc>
        <w:tc>
          <w:tcPr>
            <w:tcW w:type="dxa" w:w="3216"/>
            <w:vAlign w:val="center"/>
          </w:tcPr>
          <w:p>
            <w:pPr>
              <w:spacing w:before="40" w:after="40"/>
            </w:pPr>
            <w:r>
              <w:rPr>
                <w:rFonts w:ascii="Arial" w:hAnsi="Arial"/>
                <w:b w:val="0"/>
                <w:color w:val="1A2433"/>
                <w:sz w:val="21"/>
              </w:rPr>
              <w:t>A tumor forming on the meninges, the membranes surrounding the brain and spinal cord.</w:t>
            </w:r>
          </w:p>
        </w:tc>
      </w:tr>
      <w:tr>
        <w:tc>
          <w:tcPr>
            <w:tcW w:type="dxa" w:w="3216"/>
            <w:vAlign w:val="center"/>
          </w:tcPr>
          <w:p>
            <w:pPr>
              <w:spacing w:before="40" w:after="40"/>
            </w:pPr>
            <w:r>
              <w:rPr>
                <w:rFonts w:ascii="Arial" w:hAnsi="Arial"/>
                <w:b/>
                <w:color w:val="1A2433"/>
                <w:sz w:val="21"/>
              </w:rPr>
              <w:t>3</w:t>
            </w:r>
          </w:p>
        </w:tc>
        <w:tc>
          <w:tcPr>
            <w:tcW w:type="dxa" w:w="3216"/>
            <w:vAlign w:val="center"/>
          </w:tcPr>
          <w:p>
            <w:pPr>
              <w:spacing w:before="40" w:after="40"/>
            </w:pPr>
            <w:r>
              <w:rPr>
                <w:rFonts w:ascii="Arial" w:hAnsi="Arial"/>
                <w:b w:val="0"/>
                <w:color w:val="1A2433"/>
                <w:sz w:val="21"/>
              </w:rPr>
              <w:t>Glioma</w:t>
            </w:r>
          </w:p>
        </w:tc>
        <w:tc>
          <w:tcPr>
            <w:tcW w:type="dxa" w:w="3216"/>
            <w:vAlign w:val="center"/>
          </w:tcPr>
          <w:p>
            <w:pPr>
              <w:spacing w:before="40" w:after="40"/>
            </w:pPr>
            <w:r>
              <w:rPr>
                <w:rFonts w:ascii="Arial" w:hAnsi="Arial"/>
                <w:b w:val="0"/>
                <w:color w:val="1A2433"/>
                <w:sz w:val="21"/>
              </w:rPr>
              <w:t>A tumor originating in the brain's glial cells. It can be benign or malignant.</w:t>
            </w:r>
          </w:p>
        </w:tc>
      </w:tr>
    </w:tbl>
    <w:p>
      <w:pPr>
        <w:spacing w:before="40" w:after="120"/>
      </w:pPr>
    </w:p>
    <w:tbl>
      <w:tblPr>
        <w:tblW w:type="auto" w:w="0"/>
        <w:tblLook w:firstColumn="1" w:firstRow="1" w:lastColumn="0" w:lastRow="0" w:noHBand="0" w:noVBand="1" w:val="04A0"/>
      </w:tblPr>
      <w:tblGrid>
        <w:gridCol w:w="9648"/>
      </w:tblGrid>
      <w:tr>
        <w:tc>
          <w:tcPr>
            <w:tcW w:type="dxa" w:w="9648"/>
            <w:shd w:val="clear" w:color="auto" w:fill="EAF7FA"/>
            <w:tcBorders>
              <w:start w:val="single" w:sz="24" w:space="0" w:color="0891A8"/>
            </w:tcBorders>
          </w:tcPr>
          <w:p>
            <w:pPr>
              <w:spacing w:before="60" w:after="20"/>
            </w:pPr>
            <w:r>
              <w:rPr>
                <w:rFonts w:ascii="Arial" w:hAnsi="Arial"/>
                <w:b/>
                <w:color w:val="0B1422"/>
                <w:sz w:val="23"/>
              </w:rPr>
              <w:t>Note · Why the fixed order matters</w:t>
            </w:r>
          </w:p>
          <w:p>
            <w:pPr>
              <w:spacing w:before="20" w:after="60"/>
            </w:pPr>
            <w:r>
              <w:rPr>
                <w:rFonts w:ascii="Arial" w:hAnsi="Arial"/>
                <w:b w:val="0"/>
                <w:color w:val="1A2433"/>
                <w:sz w:val="22"/>
              </w:rPr>
              <w:t>The network's final layer outputs four numbers in this exact order. If the order were changed, the saved weights (model_class.pth) would map to the wrong labels. That is why the order Pituitary=0, No Tumor=1, Meningioma=2, Glioma=3 is duplicated identically in the model core, the backend and the frontend.</w:t>
            </w:r>
          </w:p>
        </w:tc>
      </w:tr>
    </w:tbl>
    <w:p>
      <w:pPr>
        <w:spacing w:before="40" w:after="120"/>
      </w:pPr>
    </w:p>
    <w:p>
      <w:pPr>
        <w:spacing w:before="320" w:after="80"/>
        <w:pBdr>
          <w:bottom w:val="single" w:sz="12" w:space="6" w:color="DCE6F2"/>
        </w:pBdr>
      </w:pPr>
      <w:r>
        <w:rPr>
          <w:rFonts w:ascii="Arial" w:hAnsi="Arial"/>
          <w:b/>
          <w:color w:val="0891A8"/>
          <w:sz w:val="40"/>
        </w:rPr>
        <w:t xml:space="preserve">04   </w:t>
      </w:r>
      <w:r>
        <w:rPr>
          <w:rFonts w:ascii="Arial" w:hAnsi="Arial"/>
          <w:b/>
          <w:color w:val="0B1422"/>
          <w:sz w:val="40"/>
        </w:rPr>
        <w:t>System Architecture</w:t>
      </w:r>
    </w:p>
    <w:p>
      <w:pPr>
        <w:spacing w:before="80" w:after="120"/>
      </w:pPr>
      <w:r>
        <w:rPr>
          <w:rFonts w:ascii="Arial" w:hAnsi="Arial"/>
          <w:b w:val="0"/>
          <w:color w:val="5D6B80"/>
          <w:sz w:val="25"/>
        </w:rPr>
        <w:t>How the pieces connect: a browser talks to nginx, which routes the web page to Next.js and the API calls to FastAPI; the backend wraps the PyTorch model, GradCAM and a local LLM.</w:t>
      </w:r>
    </w:p>
    <w:p>
      <w:pPr>
        <w:jc w:val="center"/>
      </w:pPr>
      <w:r>
        <w:drawing>
          <wp:inline xmlns:a="http://schemas.openxmlformats.org/drawingml/2006/main" xmlns:pic="http://schemas.openxmlformats.org/drawingml/2006/picture">
            <wp:extent cx="5669280" cy="340424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3404249"/>
                    </a:xfrm>
                    <a:prstGeom prst="rect"/>
                  </pic:spPr>
                </pic:pic>
              </a:graphicData>
            </a:graphic>
          </wp:inline>
        </w:drawing>
      </w:r>
    </w:p>
    <w:p>
      <w:pPr>
        <w:spacing w:before="40" w:after="160"/>
        <w:jc w:val="center"/>
      </w:pPr>
      <w:r>
        <w:rPr>
          <w:rFonts w:ascii="Arial" w:hAnsi="Arial"/>
          <w:b w:val="0"/>
          <w:color w:val="5D6B80"/>
          <w:sz w:val="19"/>
        </w:rPr>
        <w:t>End-to-end architecture, from the browser to the model core.</w:t>
      </w:r>
    </w:p>
    <w:p>
      <w:pPr>
        <w:spacing w:before="240" w:after="40"/>
      </w:pPr>
      <w:r>
        <w:rPr>
          <w:rFonts w:ascii="Arial" w:hAnsi="Arial"/>
          <w:b/>
          <w:color w:val="0B1422"/>
          <w:sz w:val="27"/>
        </w:rPr>
        <w:t>The shared model core</w:t>
      </w:r>
    </w:p>
    <w:p>
      <w:pPr>
        <w:spacing w:before="80" w:after="80"/>
      </w:pPr>
      <w:r>
        <w:rPr>
          <w:rFonts w:ascii="Arial" w:hAnsi="Arial"/>
          <w:b w:val="0"/>
          <w:color w:val="1A2433"/>
          <w:sz w:val="22"/>
        </w:rPr>
        <w:t>At the center is inference_core.py — the single source of truth for the model. It defines how to build the network, the image transform, the class names, and the predict function. Crucially it is import-safe: importing it does NOT load the 98 MB weights, so the backend can start instantly and load the model deliberately at startup.</w:t>
      </w:r>
    </w:p>
    <w:tbl>
      <w:tblPr>
        <w:tblStyle w:val="TableGrid"/>
        <w:tblW w:type="auto" w:w="0"/>
        <w:tblLook w:firstColumn="1" w:firstRow="1" w:lastColumn="0" w:lastRow="0" w:noHBand="0" w:noVBand="1" w:val="04A0"/>
      </w:tblPr>
      <w:tblGrid>
        <w:gridCol w:w="4824"/>
        <w:gridCol w:w="4824"/>
      </w:tblGrid>
      <w:tr>
        <w:tc>
          <w:tcPr>
            <w:tcW w:type="dxa" w:w="4824"/>
            <w:shd w:val="clear" w:color="auto" w:fill="EEF3FA"/>
            <w:vAlign w:val="center"/>
          </w:tcPr>
          <w:p>
            <w:pPr>
              <w:spacing w:before="40" w:after="40"/>
            </w:pPr>
            <w:r>
              <w:rPr>
                <w:rFonts w:ascii="Arial" w:hAnsi="Arial"/>
                <w:b/>
                <w:color w:val="0B1422"/>
                <w:sz w:val="21"/>
              </w:rPr>
              <w:t>inference_core.py</w:t>
            </w:r>
          </w:p>
        </w:tc>
        <w:tc>
          <w:tcPr>
            <w:tcW w:type="dxa" w:w="4824"/>
            <w:vAlign w:val="center"/>
          </w:tcPr>
          <w:p>
            <w:pPr>
              <w:spacing w:before="40" w:after="40"/>
            </w:pPr>
            <w:r>
              <w:rPr>
                <w:rFonts w:ascii="Arial" w:hAnsi="Arial"/>
                <w:b w:val="0"/>
                <w:color w:val="1A2433"/>
                <w:sz w:val="21"/>
              </w:rPr>
              <w:t>build_model, load_model, TRANSFORM, CLASSES/CLASS_INFO, predict_core.</w:t>
            </w:r>
          </w:p>
        </w:tc>
      </w:tr>
      <w:tr>
        <w:tc>
          <w:tcPr>
            <w:tcW w:type="dxa" w:w="4824"/>
            <w:shd w:val="clear" w:color="auto" w:fill="EEF3FA"/>
            <w:vAlign w:val="center"/>
          </w:tcPr>
          <w:p>
            <w:pPr>
              <w:spacing w:before="40" w:after="40"/>
            </w:pPr>
            <w:r>
              <w:rPr>
                <w:rFonts w:ascii="Arial" w:hAnsi="Arial"/>
                <w:b/>
                <w:color w:val="0B1422"/>
                <w:sz w:val="21"/>
              </w:rPr>
              <w:t>backend/</w:t>
            </w:r>
          </w:p>
        </w:tc>
        <w:tc>
          <w:tcPr>
            <w:tcW w:type="dxa" w:w="4824"/>
            <w:vAlign w:val="center"/>
          </w:tcPr>
          <w:p>
            <w:pPr>
              <w:spacing w:before="40" w:after="40"/>
            </w:pPr>
            <w:r>
              <w:rPr>
                <w:rFonts w:ascii="Arial" w:hAnsi="Arial"/>
                <w:b w:val="0"/>
                <w:color w:val="1A2433"/>
                <w:sz w:val="21"/>
              </w:rPr>
              <w:t>The FastAPI app: routes, schemas, image validation, metrics parsing.</w:t>
            </w:r>
          </w:p>
        </w:tc>
      </w:tr>
      <w:tr>
        <w:tc>
          <w:tcPr>
            <w:tcW w:type="dxa" w:w="4824"/>
            <w:shd w:val="clear" w:color="auto" w:fill="EEF3FA"/>
            <w:vAlign w:val="center"/>
          </w:tcPr>
          <w:p>
            <w:pPr>
              <w:spacing w:before="40" w:after="40"/>
            </w:pPr>
            <w:r>
              <w:rPr>
                <w:rFonts w:ascii="Arial" w:hAnsi="Arial"/>
                <w:b/>
                <w:color w:val="0B1422"/>
                <w:sz w:val="21"/>
              </w:rPr>
              <w:t>frontend/</w:t>
            </w:r>
          </w:p>
        </w:tc>
        <w:tc>
          <w:tcPr>
            <w:tcW w:type="dxa" w:w="4824"/>
            <w:vAlign w:val="center"/>
          </w:tcPr>
          <w:p>
            <w:pPr>
              <w:spacing w:before="40" w:after="40"/>
            </w:pPr>
            <w:r>
              <w:rPr>
                <w:rFonts w:ascii="Arial" w:hAnsi="Arial"/>
                <w:b w:val="0"/>
                <w:color w:val="1A2433"/>
                <w:sz w:val="21"/>
              </w:rPr>
              <w:t>The Next.js web app: pages, components, and the API seam.</w:t>
            </w:r>
          </w:p>
        </w:tc>
      </w:tr>
      <w:tr>
        <w:tc>
          <w:tcPr>
            <w:tcW w:type="dxa" w:w="4824"/>
            <w:shd w:val="clear" w:color="auto" w:fill="EEF3FA"/>
            <w:vAlign w:val="center"/>
          </w:tcPr>
          <w:p>
            <w:pPr>
              <w:spacing w:before="40" w:after="40"/>
            </w:pPr>
            <w:r>
              <w:rPr>
                <w:rFonts w:ascii="Arial" w:hAnsi="Arial"/>
                <w:b/>
                <w:color w:val="0B1422"/>
                <w:sz w:val="21"/>
              </w:rPr>
              <w:t>gradcam_utils.py / llm_report.py</w:t>
            </w:r>
          </w:p>
        </w:tc>
        <w:tc>
          <w:tcPr>
            <w:tcW w:type="dxa" w:w="4824"/>
            <w:vAlign w:val="center"/>
          </w:tcPr>
          <w:p>
            <w:pPr>
              <w:spacing w:before="40" w:after="40"/>
            </w:pPr>
            <w:r>
              <w:rPr>
                <w:rFonts w:ascii="Arial" w:hAnsi="Arial"/>
                <w:b w:val="0"/>
                <w:color w:val="1A2433"/>
                <w:sz w:val="21"/>
              </w:rPr>
              <w:t>Optional explainability and reporting helpers (degrade gracefully if absent).</w:t>
            </w:r>
          </w:p>
        </w:tc>
      </w:tr>
    </w:tbl>
    <w:p>
      <w:pPr>
        <w:spacing w:before="40" w:after="120"/>
      </w:pPr>
    </w:p>
    <w:p>
      <w:pPr>
        <w:spacing w:before="320" w:after="80"/>
        <w:pBdr>
          <w:bottom w:val="single" w:sz="12" w:space="6" w:color="DCE6F2"/>
        </w:pBdr>
      </w:pPr>
      <w:r>
        <w:rPr>
          <w:rFonts w:ascii="Arial" w:hAnsi="Arial"/>
          <w:b/>
          <w:color w:val="0891A8"/>
          <w:sz w:val="40"/>
        </w:rPr>
        <w:t xml:space="preserve">05   </w:t>
      </w:r>
      <w:r>
        <w:rPr>
          <w:rFonts w:ascii="Arial" w:hAnsi="Arial"/>
          <w:b/>
          <w:color w:val="0B1422"/>
          <w:sz w:val="40"/>
        </w:rPr>
        <w:t>The Dataset &amp; Preprocessing</w:t>
      </w:r>
    </w:p>
    <w:p>
      <w:pPr>
        <w:spacing w:before="80" w:after="120"/>
      </w:pPr>
      <w:r>
        <w:rPr>
          <w:rFonts w:ascii="Arial" w:hAnsi="Arial"/>
          <w:b w:val="0"/>
          <w:color w:val="5D6B80"/>
          <w:sz w:val="25"/>
        </w:rPr>
        <w:t>Every image is resized and normalized to look exactly like the data the ResNet50 backbone was originally trained on (ImageNet).</w:t>
      </w:r>
    </w:p>
    <w:p>
      <w:pPr>
        <w:spacing w:before="80" w:after="80"/>
      </w:pPr>
      <w:r>
        <w:rPr>
          <w:rFonts w:ascii="Arial" w:hAnsi="Arial"/>
          <w:b w:val="0"/>
          <w:color w:val="1A2433"/>
          <w:sz w:val="22"/>
        </w:rPr>
        <w:t>The model expects a 224×224 RGB image. The inference transform (the canonical TRANSFORM in inference_core.py) applies three deterministic steps:</w:t>
      </w:r>
    </w:p>
    <w:p>
      <w:pPr>
        <w:pStyle w:val="ListNumber"/>
        <w:spacing w:before="80" w:after="80"/>
      </w:pPr>
      <w:r>
        <w:rPr>
          <w:rFonts w:ascii="Arial" w:hAnsi="Arial"/>
          <w:b w:val="0"/>
          <w:color w:val="1A2433"/>
          <w:sz w:val="22"/>
        </w:rPr>
        <w:t>Resize to 224 × 224 pixels.</w:t>
      </w:r>
    </w:p>
    <w:p>
      <w:pPr>
        <w:pStyle w:val="ListNumber"/>
        <w:spacing w:before="80" w:after="80"/>
      </w:pPr>
      <w:r>
        <w:rPr>
          <w:rFonts w:ascii="Arial" w:hAnsi="Arial"/>
          <w:b w:val="0"/>
          <w:color w:val="1A2433"/>
          <w:sz w:val="22"/>
        </w:rPr>
        <w:t>Convert to a tensor (rescaling pixel values from 0–255 to 0.0–1.0).</w:t>
      </w:r>
    </w:p>
    <w:p>
      <w:pPr>
        <w:pStyle w:val="ListNumber"/>
        <w:spacing w:before="80" w:after="80"/>
      </w:pPr>
      <w:r>
        <w:rPr>
          <w:rFonts w:ascii="Arial" w:hAnsi="Arial"/>
          <w:b w:val="0"/>
          <w:color w:val="1A2433"/>
          <w:sz w:val="22"/>
        </w:rPr>
        <w:t>Normalize per channel with ImageNet mean [0.485, 0.456, 0.406] and std [0.229, 0.224, 0.225].</w:t>
      </w:r>
    </w:p>
    <w:tbl>
      <w:tblPr>
        <w:tblStyle w:val="TableGrid"/>
        <w:tblW w:type="auto" w:w="0"/>
        <w:tblLook w:firstColumn="1" w:firstRow="1" w:lastColumn="0" w:lastRow="0" w:noHBand="0" w:noVBand="1" w:val="04A0"/>
      </w:tblPr>
      <w:tblGrid>
        <w:gridCol w:w="9648"/>
      </w:tblGrid>
      <w:tr>
        <w:tc>
          <w:tcPr>
            <w:tcW w:type="dxa" w:w="9648"/>
            <w:shd w:val="clear" w:color="auto" w:fill="F1F5FB"/>
          </w:tcPr>
          <w:p>
            <w:pPr>
              <w:spacing w:before="80" w:after="80"/>
              <w:jc w:val="left"/>
            </w:pPr>
            <w:r>
              <w:rPr>
                <w:rFonts w:ascii="Consolas" w:hAnsi="Consolas"/>
                <w:color w:val="162033"/>
                <w:sz w:val="19"/>
              </w:rPr>
              <w:t>TRANSFORM = transforms.Compose([</w:t>
              <w:br/>
            </w:r>
            <w:r>
              <w:rPr>
                <w:rFonts w:ascii="Consolas" w:hAnsi="Consolas"/>
                <w:color w:val="162033"/>
                <w:sz w:val="19"/>
              </w:rPr>
              <w:t xml:space="preserve">    transforms.Resize((224, 224)),</w:t>
              <w:br/>
            </w:r>
            <w:r>
              <w:rPr>
                <w:rFonts w:ascii="Consolas" w:hAnsi="Consolas"/>
                <w:color w:val="162033"/>
                <w:sz w:val="19"/>
              </w:rPr>
              <w:t xml:space="preserve">    transforms.ToTensor(),</w:t>
              <w:br/>
            </w:r>
            <w:r>
              <w:rPr>
                <w:rFonts w:ascii="Consolas" w:hAnsi="Consolas"/>
                <w:color w:val="162033"/>
                <w:sz w:val="19"/>
              </w:rPr>
              <w:t xml:space="preserve">    transforms.Normalize(mean=[0.485, 0.456, 0.406],</w:t>
              <w:br/>
            </w:r>
            <w:r>
              <w:rPr>
                <w:rFonts w:ascii="Consolas" w:hAnsi="Consolas"/>
                <w:color w:val="162033"/>
                <w:sz w:val="19"/>
              </w:rPr>
              <w:t xml:space="preserve">                         std=[0.229, 0.224, 0.225]),</w:t>
              <w:br/>
            </w:r>
            <w:r>
              <w:rPr>
                <w:rFonts w:ascii="Consolas" w:hAnsi="Consolas"/>
                <w:color w:val="162033"/>
                <w:sz w:val="19"/>
              </w:rPr>
              <w:t>])</w:t>
            </w:r>
          </w:p>
        </w:tc>
      </w:tr>
    </w:tbl>
    <w:p>
      <w:pPr>
        <w:spacing w:before="40" w:after="120"/>
      </w:pPr>
    </w:p>
    <w:tbl>
      <w:tblPr>
        <w:tblW w:type="auto" w:w="0"/>
        <w:tblLook w:firstColumn="1" w:firstRow="1" w:lastColumn="0" w:lastRow="0" w:noHBand="0" w:noVBand="1" w:val="04A0"/>
      </w:tblPr>
      <w:tblGrid>
        <w:gridCol w:w="9648"/>
      </w:tblGrid>
      <w:tr>
        <w:tc>
          <w:tcPr>
            <w:tcW w:type="dxa" w:w="9648"/>
            <w:shd w:val="clear" w:color="auto" w:fill="EAF7FA"/>
            <w:tcBorders>
              <w:start w:val="single" w:sz="24" w:space="0" w:color="0891A8"/>
            </w:tcBorders>
          </w:tcPr>
          <w:p>
            <w:pPr>
              <w:spacing w:before="60" w:after="20"/>
            </w:pPr>
            <w:r>
              <w:rPr>
                <w:rFonts w:ascii="Arial" w:hAnsi="Arial"/>
                <w:b/>
                <w:color w:val="0B1422"/>
                <w:sz w:val="23"/>
              </w:rPr>
              <w:t>Note · Why ImageNet statistics?</w:t>
            </w:r>
          </w:p>
          <w:p>
            <w:pPr>
              <w:spacing w:before="20" w:after="60"/>
            </w:pPr>
            <w:r>
              <w:rPr>
                <w:rFonts w:ascii="Arial" w:hAnsi="Arial"/>
                <w:b w:val="0"/>
                <w:color w:val="1A2433"/>
                <w:sz w:val="22"/>
              </w:rPr>
              <w:t>ResNet50's weights were learned on ImageNet, where inputs were normalized with these exact numbers. Feeding differently-scaled inputs would shift the distribution the network expects and hurt accuracy, so we reuse the same mean and standard deviation.</w:t>
            </w:r>
          </w:p>
        </w:tc>
      </w:tr>
    </w:tbl>
    <w:p>
      <w:pPr>
        <w:spacing w:before="40" w:after="120"/>
      </w:pPr>
    </w:p>
    <w:p>
      <w:pPr>
        <w:spacing w:before="320" w:after="80"/>
        <w:pBdr>
          <w:bottom w:val="single" w:sz="12" w:space="6" w:color="DCE6F2"/>
        </w:pBdr>
      </w:pPr>
      <w:r>
        <w:rPr>
          <w:rFonts w:ascii="Arial" w:hAnsi="Arial"/>
          <w:b/>
          <w:color w:val="0891A8"/>
          <w:sz w:val="40"/>
        </w:rPr>
        <w:t xml:space="preserve">06   </w:t>
      </w:r>
      <w:r>
        <w:rPr>
          <w:rFonts w:ascii="Arial" w:hAnsi="Arial"/>
          <w:b/>
          <w:color w:val="0B1422"/>
          <w:sz w:val="40"/>
        </w:rPr>
        <w:t>Data Augmentation</w:t>
      </w:r>
    </w:p>
    <w:p>
      <w:pPr>
        <w:spacing w:before="80" w:after="120"/>
      </w:pPr>
      <w:r>
        <w:rPr>
          <w:rFonts w:ascii="Arial" w:hAnsi="Arial"/>
          <w:b w:val="0"/>
          <w:color w:val="5D6B80"/>
          <w:sz w:val="25"/>
        </w:rPr>
        <w:t>During training only, each image is randomly transformed so the model sees more variety and learns features that survive real-world noise.</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DCE6F2"/>
            <w:vAlign w:val="center"/>
          </w:tcPr>
          <w:p>
            <w:pPr>
              <w:spacing w:before="40" w:after="40"/>
            </w:pPr>
            <w:r>
              <w:rPr>
                <w:rFonts w:ascii="Arial" w:hAnsi="Arial"/>
                <w:b/>
                <w:color w:val="0B1422"/>
                <w:sz w:val="21"/>
              </w:rPr>
              <w:t>Transform</w:t>
            </w:r>
          </w:p>
        </w:tc>
        <w:tc>
          <w:tcPr>
            <w:tcW w:type="dxa" w:w="3216"/>
            <w:shd w:val="clear" w:color="auto" w:fill="DCE6F2"/>
            <w:vAlign w:val="center"/>
          </w:tcPr>
          <w:p>
            <w:pPr>
              <w:spacing w:before="40" w:after="40"/>
            </w:pPr>
            <w:r>
              <w:rPr>
                <w:rFonts w:ascii="Arial" w:hAnsi="Arial"/>
                <w:b/>
                <w:color w:val="0B1422"/>
                <w:sz w:val="21"/>
              </w:rPr>
              <w:t>Setting</w:t>
            </w:r>
          </w:p>
        </w:tc>
        <w:tc>
          <w:tcPr>
            <w:tcW w:type="dxa" w:w="3216"/>
            <w:shd w:val="clear" w:color="auto" w:fill="DCE6F2"/>
            <w:vAlign w:val="center"/>
          </w:tcPr>
          <w:p>
            <w:pPr>
              <w:spacing w:before="40" w:after="40"/>
            </w:pPr>
            <w:r>
              <w:rPr>
                <w:rFonts w:ascii="Arial" w:hAnsi="Arial"/>
                <w:b/>
                <w:color w:val="0B1422"/>
                <w:sz w:val="21"/>
              </w:rPr>
              <w:t>Why (medical rationale)</w:t>
            </w:r>
          </w:p>
        </w:tc>
      </w:tr>
      <w:tr>
        <w:tc>
          <w:tcPr>
            <w:tcW w:type="dxa" w:w="3216"/>
            <w:vAlign w:val="center"/>
          </w:tcPr>
          <w:p>
            <w:pPr>
              <w:spacing w:before="40" w:after="40"/>
            </w:pPr>
            <w:r>
              <w:rPr>
                <w:rFonts w:ascii="Arial" w:hAnsi="Arial"/>
                <w:b/>
                <w:color w:val="1A2433"/>
                <w:sz w:val="21"/>
              </w:rPr>
              <w:t>Horizontal flip</w:t>
            </w:r>
          </w:p>
        </w:tc>
        <w:tc>
          <w:tcPr>
            <w:tcW w:type="dxa" w:w="3216"/>
            <w:vAlign w:val="center"/>
          </w:tcPr>
          <w:p>
            <w:pPr>
              <w:spacing w:before="40" w:after="40"/>
            </w:pPr>
            <w:r>
              <w:rPr>
                <w:rFonts w:ascii="Arial" w:hAnsi="Arial"/>
                <w:b w:val="0"/>
                <w:color w:val="1A2433"/>
                <w:sz w:val="21"/>
              </w:rPr>
              <w:t>p = 0.5</w:t>
            </w:r>
          </w:p>
        </w:tc>
        <w:tc>
          <w:tcPr>
            <w:tcW w:type="dxa" w:w="3216"/>
            <w:vAlign w:val="center"/>
          </w:tcPr>
          <w:p>
            <w:pPr>
              <w:spacing w:before="40" w:after="40"/>
            </w:pPr>
            <w:r>
              <w:rPr>
                <w:rFonts w:ascii="Arial" w:hAnsi="Arial"/>
                <w:b w:val="0"/>
                <w:color w:val="1A2433"/>
                <w:sz w:val="21"/>
              </w:rPr>
              <w:t>Left/right symmetry — orientation should not change the class.</w:t>
            </w:r>
          </w:p>
        </w:tc>
      </w:tr>
      <w:tr>
        <w:tc>
          <w:tcPr>
            <w:tcW w:type="dxa" w:w="3216"/>
            <w:vAlign w:val="center"/>
          </w:tcPr>
          <w:p>
            <w:pPr>
              <w:spacing w:before="40" w:after="40"/>
            </w:pPr>
            <w:r>
              <w:rPr>
                <w:rFonts w:ascii="Arial" w:hAnsi="Arial"/>
                <w:b/>
                <w:color w:val="1A2433"/>
                <w:sz w:val="21"/>
              </w:rPr>
              <w:t>Vertical flip</w:t>
            </w:r>
          </w:p>
        </w:tc>
        <w:tc>
          <w:tcPr>
            <w:tcW w:type="dxa" w:w="3216"/>
            <w:vAlign w:val="center"/>
          </w:tcPr>
          <w:p>
            <w:pPr>
              <w:spacing w:before="40" w:after="40"/>
            </w:pPr>
            <w:r>
              <w:rPr>
                <w:rFonts w:ascii="Arial" w:hAnsi="Arial"/>
                <w:b w:val="0"/>
                <w:color w:val="1A2433"/>
                <w:sz w:val="21"/>
              </w:rPr>
              <w:t>p = 0.5</w:t>
            </w:r>
          </w:p>
        </w:tc>
        <w:tc>
          <w:tcPr>
            <w:tcW w:type="dxa" w:w="3216"/>
            <w:vAlign w:val="center"/>
          </w:tcPr>
          <w:p>
            <w:pPr>
              <w:spacing w:before="40" w:after="40"/>
            </w:pPr>
            <w:r>
              <w:rPr>
                <w:rFonts w:ascii="Arial" w:hAnsi="Arial"/>
                <w:b w:val="0"/>
                <w:color w:val="1A2433"/>
                <w:sz w:val="21"/>
              </w:rPr>
              <w:t>Robustness to how a scan was loaded/oriented.</w:t>
            </w:r>
          </w:p>
        </w:tc>
      </w:tr>
      <w:tr>
        <w:tc>
          <w:tcPr>
            <w:tcW w:type="dxa" w:w="3216"/>
            <w:vAlign w:val="center"/>
          </w:tcPr>
          <w:p>
            <w:pPr>
              <w:spacing w:before="40" w:after="40"/>
            </w:pPr>
            <w:r>
              <w:rPr>
                <w:rFonts w:ascii="Arial" w:hAnsi="Arial"/>
                <w:b/>
                <w:color w:val="1A2433"/>
                <w:sz w:val="21"/>
              </w:rPr>
              <w:t>Rotation</w:t>
            </w:r>
          </w:p>
        </w:tc>
        <w:tc>
          <w:tcPr>
            <w:tcW w:type="dxa" w:w="3216"/>
            <w:vAlign w:val="center"/>
          </w:tcPr>
          <w:p>
            <w:pPr>
              <w:spacing w:before="40" w:after="40"/>
            </w:pPr>
            <w:r>
              <w:rPr>
                <w:rFonts w:ascii="Arial" w:hAnsi="Arial"/>
                <w:b w:val="0"/>
                <w:color w:val="1A2433"/>
                <w:sz w:val="21"/>
              </w:rPr>
              <w:t>±15°</w:t>
            </w:r>
          </w:p>
        </w:tc>
        <w:tc>
          <w:tcPr>
            <w:tcW w:type="dxa" w:w="3216"/>
            <w:vAlign w:val="center"/>
          </w:tcPr>
          <w:p>
            <w:pPr>
              <w:spacing w:before="40" w:after="40"/>
            </w:pPr>
            <w:r>
              <w:rPr>
                <w:rFonts w:ascii="Arial" w:hAnsi="Arial"/>
                <w:b w:val="0"/>
                <w:color w:val="1A2433"/>
                <w:sz w:val="21"/>
              </w:rPr>
              <w:t>Tolerate small misalignment of the patient's head.</w:t>
            </w:r>
          </w:p>
        </w:tc>
      </w:tr>
      <w:tr>
        <w:tc>
          <w:tcPr>
            <w:tcW w:type="dxa" w:w="3216"/>
            <w:vAlign w:val="center"/>
          </w:tcPr>
          <w:p>
            <w:pPr>
              <w:spacing w:before="40" w:after="40"/>
            </w:pPr>
            <w:r>
              <w:rPr>
                <w:rFonts w:ascii="Arial" w:hAnsi="Arial"/>
                <w:b/>
                <w:color w:val="1A2433"/>
                <w:sz w:val="21"/>
              </w:rPr>
              <w:t>ColorJitter</w:t>
            </w:r>
          </w:p>
        </w:tc>
        <w:tc>
          <w:tcPr>
            <w:tcW w:type="dxa" w:w="3216"/>
            <w:vAlign w:val="center"/>
          </w:tcPr>
          <w:p>
            <w:pPr>
              <w:spacing w:before="40" w:after="40"/>
            </w:pPr>
            <w:r>
              <w:rPr>
                <w:rFonts w:ascii="Arial" w:hAnsi="Arial"/>
                <w:b w:val="0"/>
                <w:color w:val="1A2433"/>
                <w:sz w:val="21"/>
              </w:rPr>
              <w:t>brightness/contrast 0.2</w:t>
            </w:r>
          </w:p>
        </w:tc>
        <w:tc>
          <w:tcPr>
            <w:tcW w:type="dxa" w:w="3216"/>
            <w:vAlign w:val="center"/>
          </w:tcPr>
          <w:p>
            <w:pPr>
              <w:spacing w:before="40" w:after="40"/>
            </w:pPr>
            <w:r>
              <w:rPr>
                <w:rFonts w:ascii="Arial" w:hAnsi="Arial"/>
                <w:b w:val="0"/>
                <w:color w:val="1A2433"/>
                <w:sz w:val="21"/>
              </w:rPr>
              <w:t>Different scanners produce different brightness and contrast.</w:t>
            </w:r>
          </w:p>
        </w:tc>
      </w:tr>
      <w:tr>
        <w:tc>
          <w:tcPr>
            <w:tcW w:type="dxa" w:w="3216"/>
            <w:vAlign w:val="center"/>
          </w:tcPr>
          <w:p>
            <w:pPr>
              <w:spacing w:before="40" w:after="40"/>
            </w:pPr>
            <w:r>
              <w:rPr>
                <w:rFonts w:ascii="Arial" w:hAnsi="Arial"/>
                <w:b/>
                <w:color w:val="1A2433"/>
                <w:sz w:val="21"/>
              </w:rPr>
              <w:t>GaussianBlur</w:t>
            </w:r>
          </w:p>
        </w:tc>
        <w:tc>
          <w:tcPr>
            <w:tcW w:type="dxa" w:w="3216"/>
            <w:vAlign w:val="center"/>
          </w:tcPr>
          <w:p>
            <w:pPr>
              <w:spacing w:before="40" w:after="40"/>
            </w:pPr>
            <w:r>
              <w:rPr>
                <w:rFonts w:ascii="Arial" w:hAnsi="Arial"/>
                <w:b w:val="0"/>
                <w:color w:val="1A2433"/>
                <w:sz w:val="21"/>
              </w:rPr>
              <w:t>kernel 3</w:t>
            </w:r>
          </w:p>
        </w:tc>
        <w:tc>
          <w:tcPr>
            <w:tcW w:type="dxa" w:w="3216"/>
            <w:vAlign w:val="center"/>
          </w:tcPr>
          <w:p>
            <w:pPr>
              <w:spacing w:before="40" w:after="40"/>
            </w:pPr>
            <w:r>
              <w:rPr>
                <w:rFonts w:ascii="Arial" w:hAnsi="Arial"/>
                <w:b w:val="0"/>
                <w:color w:val="1A2433"/>
                <w:sz w:val="21"/>
              </w:rPr>
              <w:t>Simulate motion blur and out-of-focus artifacts.</w:t>
            </w:r>
          </w:p>
        </w:tc>
      </w:tr>
    </w:tbl>
    <w:p>
      <w:pPr>
        <w:spacing w:before="40" w:after="120"/>
      </w:pPr>
    </w:p>
    <w:tbl>
      <w:tblPr>
        <w:tblW w:type="auto" w:w="0"/>
        <w:tblLook w:firstColumn="1" w:firstRow="1" w:lastColumn="0" w:lastRow="0" w:noHBand="0" w:noVBand="1" w:val="04A0"/>
      </w:tblPr>
      <w:tblGrid>
        <w:gridCol w:w="9648"/>
      </w:tblGrid>
      <w:tr>
        <w:tc>
          <w:tcPr>
            <w:tcW w:type="dxa" w:w="9648"/>
            <w:shd w:val="clear" w:color="auto" w:fill="EAF6F0"/>
            <w:tcBorders>
              <w:start w:val="single" w:sz="24" w:space="0" w:color="0F8A55"/>
            </w:tcBorders>
          </w:tcPr>
          <w:p>
            <w:pPr>
              <w:spacing w:before="60" w:after="20"/>
            </w:pPr>
            <w:r>
              <w:rPr>
                <w:rFonts w:ascii="Arial" w:hAnsi="Arial"/>
                <w:b/>
                <w:color w:val="0B1422"/>
                <w:sz w:val="23"/>
              </w:rPr>
              <w:t>Good to know · Validation stays clean</w:t>
            </w:r>
          </w:p>
          <w:p>
            <w:pPr>
              <w:spacing w:before="20" w:after="60"/>
            </w:pPr>
            <w:r>
              <w:rPr>
                <w:rFonts w:ascii="Arial" w:hAnsi="Arial"/>
                <w:b w:val="0"/>
                <w:color w:val="1A2433"/>
                <w:sz w:val="22"/>
              </w:rPr>
              <w:t>The validation transform applies only resize + normalize — no randomness. Evaluation must be deterministic so the reported numbers are reproducible.</w:t>
            </w:r>
          </w:p>
        </w:tc>
      </w:tr>
    </w:tbl>
    <w:p>
      <w:pPr>
        <w:spacing w:before="40" w:after="120"/>
      </w:pPr>
    </w:p>
    <w:p>
      <w:pPr>
        <w:spacing w:before="320" w:after="80"/>
        <w:pBdr>
          <w:bottom w:val="single" w:sz="12" w:space="6" w:color="DCE6F2"/>
        </w:pBdr>
      </w:pPr>
      <w:r>
        <w:rPr>
          <w:rFonts w:ascii="Arial" w:hAnsi="Arial"/>
          <w:b/>
          <w:color w:val="0891A8"/>
          <w:sz w:val="40"/>
        </w:rPr>
        <w:t xml:space="preserve">07   </w:t>
      </w:r>
      <w:r>
        <w:rPr>
          <w:rFonts w:ascii="Arial" w:hAnsi="Arial"/>
          <w:b/>
          <w:color w:val="0B1422"/>
          <w:sz w:val="40"/>
        </w:rPr>
        <w:t>The Model: ResNet50 + Transfer Learning</w:t>
      </w:r>
    </w:p>
    <w:p>
      <w:pPr>
        <w:spacing w:before="80" w:after="120"/>
      </w:pPr>
      <w:r>
        <w:rPr>
          <w:rFonts w:ascii="Arial" w:hAnsi="Arial"/>
          <w:b w:val="0"/>
          <w:color w:val="5D6B80"/>
          <w:sz w:val="25"/>
        </w:rPr>
        <w:t>Rather than training a network from scratch, NeuroScan starts from an ImageNet-pretrained ResNet50 and adapts it to brain MRIs — the standard, data-efficient approach.</w:t>
      </w:r>
    </w:p>
    <w:p>
      <w:pPr>
        <w:spacing w:before="240" w:after="40"/>
      </w:pPr>
      <w:r>
        <w:rPr>
          <w:rFonts w:ascii="Arial" w:hAnsi="Arial"/>
          <w:b/>
          <w:color w:val="0B1422"/>
          <w:sz w:val="27"/>
        </w:rPr>
        <w:t>What is ResNet50?</w:t>
      </w:r>
    </w:p>
    <w:p>
      <w:pPr>
        <w:spacing w:before="80" w:after="80"/>
      </w:pPr>
      <w:r>
        <w:rPr>
          <w:rFonts w:ascii="Arial" w:hAnsi="Arial"/>
          <w:b w:val="0"/>
          <w:color w:val="1A2433"/>
          <w:sz w:val="22"/>
        </w:rPr>
        <w:t>ResNet50 is a 50-layer convolutional neural network. Its key innovation is the residual (skip) connection, which lets gradients flow through very deep networks without vanishing — making it possible to train 50 layers reliably. Pretrained on ImageNet (1.2M images, 1000 classes), its early layers already detect generic edges, textures and shapes that are useful for any image task.</w:t>
      </w:r>
    </w:p>
    <w:p>
      <w:pPr>
        <w:spacing w:before="240" w:after="40"/>
      </w:pPr>
      <w:r>
        <w:rPr>
          <w:rFonts w:ascii="Arial" w:hAnsi="Arial"/>
          <w:b/>
          <w:color w:val="0B1422"/>
          <w:sz w:val="27"/>
        </w:rPr>
        <w:t>Freezing and fine-tuning</w:t>
      </w:r>
    </w:p>
    <w:p>
      <w:pPr>
        <w:pStyle w:val="ListBullet"/>
        <w:spacing w:before="80" w:after="80"/>
      </w:pPr>
      <w:r>
        <w:rPr>
          <w:rFonts w:ascii="Arial" w:hAnsi="Arial"/>
          <w:b w:val="0"/>
          <w:color w:val="1A2433"/>
          <w:sz w:val="22"/>
        </w:rPr>
        <w:t>All backbone layers are frozen first (their weights won't change).</w:t>
      </w:r>
    </w:p>
    <w:p>
      <w:pPr>
        <w:pStyle w:val="ListBullet"/>
        <w:spacing w:before="80" w:after="80"/>
      </w:pPr>
      <w:r>
        <w:rPr>
          <w:rFonts w:ascii="Arial" w:hAnsi="Arial"/>
          <w:b w:val="0"/>
          <w:color w:val="1A2433"/>
          <w:sz w:val="22"/>
        </w:rPr>
        <w:t>Then layer3 and layer4 — the deepest blocks holding high-level features — are unfrozen.</w:t>
      </w:r>
    </w:p>
    <w:p>
      <w:pPr>
        <w:pStyle w:val="ListBullet"/>
        <w:spacing w:before="80" w:after="80"/>
      </w:pPr>
      <w:r>
        <w:rPr>
          <w:rFonts w:ascii="Arial" w:hAnsi="Arial"/>
          <w:b w:val="0"/>
          <w:color w:val="1A2433"/>
          <w:sz w:val="22"/>
        </w:rPr>
        <w:t>The optimizer updates only those unfrozen layers plus the new classifier head.</w:t>
      </w:r>
    </w:p>
    <w:p>
      <w:pPr>
        <w:pStyle w:val="ListBullet"/>
        <w:spacing w:before="80" w:after="80"/>
      </w:pPr>
      <w:r>
        <w:rPr>
          <w:rFonts w:ascii="Arial" w:hAnsi="Arial"/>
          <w:b w:val="0"/>
          <w:color w:val="1A2433"/>
          <w:sz w:val="22"/>
        </w:rPr>
        <w:t>This adapts the high-level features to MRIs while keeping the proven low-level detectors.</w:t>
      </w:r>
    </w:p>
    <w:p>
      <w:pPr>
        <w:jc w:val="center"/>
      </w:pPr>
      <w:r>
        <w:drawing>
          <wp:inline xmlns:a="http://schemas.openxmlformats.org/drawingml/2006/main" xmlns:pic="http://schemas.openxmlformats.org/drawingml/2006/picture">
            <wp:extent cx="5669280" cy="5636822"/>
            <wp:docPr id="2" name="Picture 2"/>
            <wp:cNvGraphicFramePr>
              <a:graphicFrameLocks noChangeAspect="1"/>
            </wp:cNvGraphicFramePr>
            <a:graphic>
              <a:graphicData uri="http://schemas.openxmlformats.org/drawingml/2006/picture">
                <pic:pic>
                  <pic:nvPicPr>
                    <pic:cNvPr id="0" name="model_head.png"/>
                    <pic:cNvPicPr/>
                  </pic:nvPicPr>
                  <pic:blipFill>
                    <a:blip r:embed="rId10"/>
                    <a:stretch>
                      <a:fillRect/>
                    </a:stretch>
                  </pic:blipFill>
                  <pic:spPr>
                    <a:xfrm>
                      <a:off x="0" y="0"/>
                      <a:ext cx="5669280" cy="5636822"/>
                    </a:xfrm>
                    <a:prstGeom prst="rect"/>
                  </pic:spPr>
                </pic:pic>
              </a:graphicData>
            </a:graphic>
          </wp:inline>
        </w:drawing>
      </w:r>
    </w:p>
    <w:p>
      <w:pPr>
        <w:spacing w:before="40" w:after="160"/>
        <w:jc w:val="center"/>
      </w:pPr>
      <w:r>
        <w:rPr>
          <w:rFonts w:ascii="Arial" w:hAnsi="Arial"/>
          <w:b w:val="0"/>
          <w:color w:val="5D6B80"/>
          <w:sz w:val="19"/>
        </w:rPr>
        <w:t>The custom classifier head replaces ResNet50's original 1000-class layer.</w:t>
      </w:r>
    </w:p>
    <w:p>
      <w:pPr>
        <w:spacing w:before="240" w:after="40"/>
      </w:pPr>
      <w:r>
        <w:rPr>
          <w:rFonts w:ascii="Arial" w:hAnsi="Arial"/>
          <w:b/>
          <w:color w:val="0B1422"/>
          <w:sz w:val="27"/>
        </w:rPr>
        <w:t>The classifier head — and a subtle detail</w:t>
      </w:r>
    </w:p>
    <w:p>
      <w:pPr>
        <w:spacing w:before="80" w:after="80"/>
      </w:pPr>
      <w:r>
        <w:rPr>
          <w:rFonts w:ascii="Arial" w:hAnsi="Arial"/>
          <w:b w:val="0"/>
          <w:color w:val="1A2433"/>
          <w:sz w:val="22"/>
        </w:rPr>
        <w:t>The original 1000-class layer is swapped for a small head that maps the 2048-dimensional feature vector down to 4 class scores, with dropout for regularization:</w:t>
      </w:r>
    </w:p>
    <w:tbl>
      <w:tblPr>
        <w:tblStyle w:val="TableGrid"/>
        <w:tblW w:type="auto" w:w="0"/>
        <w:tblLook w:firstColumn="1" w:firstRow="1" w:lastColumn="0" w:lastRow="0" w:noHBand="0" w:noVBand="1" w:val="04A0"/>
      </w:tblPr>
      <w:tblGrid>
        <w:gridCol w:w="9648"/>
      </w:tblGrid>
      <w:tr>
        <w:tc>
          <w:tcPr>
            <w:tcW w:type="dxa" w:w="9648"/>
            <w:shd w:val="clear" w:color="auto" w:fill="F1F5FB"/>
          </w:tcPr>
          <w:p>
            <w:pPr>
              <w:spacing w:before="80" w:after="80"/>
              <w:jc w:val="left"/>
            </w:pPr>
            <w:r>
              <w:rPr>
                <w:rFonts w:ascii="Consolas" w:hAnsi="Consolas"/>
                <w:color w:val="162033"/>
                <w:sz w:val="19"/>
              </w:rPr>
              <w:t>model.fc = nn.Sequential(</w:t>
              <w:br/>
            </w:r>
            <w:r>
              <w:rPr>
                <w:rFonts w:ascii="Consolas" w:hAnsi="Consolas"/>
                <w:color w:val="162033"/>
                <w:sz w:val="19"/>
              </w:rPr>
              <w:t xml:space="preserve">    nn.Dropout(0.5),              # fc.0</w:t>
              <w:br/>
            </w:r>
            <w:r>
              <w:rPr>
                <w:rFonts w:ascii="Consolas" w:hAnsi="Consolas"/>
                <w:color w:val="162033"/>
                <w:sz w:val="19"/>
              </w:rPr>
              <w:t xml:space="preserve">    nn.Linear(2048, 512),         # fc.1  (trainable)</w:t>
              <w:br/>
            </w:r>
            <w:r>
              <w:rPr>
                <w:rFonts w:ascii="Consolas" w:hAnsi="Consolas"/>
                <w:color w:val="162033"/>
                <w:sz w:val="19"/>
              </w:rPr>
              <w:t xml:space="preserve">    nn.ReLU(),                    # fc.2</w:t>
              <w:br/>
            </w:r>
            <w:r>
              <w:rPr>
                <w:rFonts w:ascii="Consolas" w:hAnsi="Consolas"/>
                <w:color w:val="162033"/>
                <w:sz w:val="19"/>
              </w:rPr>
              <w:t xml:space="preserve">    nn.Dropout(0.3),              # fc.3</w:t>
              <w:br/>
            </w:r>
            <w:r>
              <w:rPr>
                <w:rFonts w:ascii="Consolas" w:hAnsi="Consolas"/>
                <w:color w:val="162033"/>
                <w:sz w:val="19"/>
              </w:rPr>
              <w:t xml:space="preserve">    nn.Dropout(0.3),              # fc.4  &lt;- duplicate, intentional</w:t>
              <w:br/>
            </w:r>
            <w:r>
              <w:rPr>
                <w:rFonts w:ascii="Consolas" w:hAnsi="Consolas"/>
                <w:color w:val="162033"/>
                <w:sz w:val="19"/>
              </w:rPr>
              <w:t xml:space="preserve">    nn.Linear(512, 4),            # fc.5  (trainable)</w:t>
              <w:br/>
            </w:r>
            <w:r>
              <w:rPr>
                <w:rFonts w:ascii="Consolas" w:hAnsi="Consolas"/>
                <w:color w:val="162033"/>
                <w:sz w:val="19"/>
              </w:rPr>
              <w:t>)</w:t>
            </w:r>
          </w:p>
        </w:tc>
      </w:tr>
    </w:tbl>
    <w:p>
      <w:pPr>
        <w:spacing w:before="40" w:after="120"/>
      </w:pPr>
    </w:p>
    <w:tbl>
      <w:tblPr>
        <w:tblW w:type="auto" w:w="0"/>
        <w:tblLook w:firstColumn="1" w:firstRow="1" w:lastColumn="0" w:lastRow="0" w:noHBand="0" w:noVBand="1" w:val="04A0"/>
      </w:tblPr>
      <w:tblGrid>
        <w:gridCol w:w="9648"/>
      </w:tblGrid>
      <w:tr>
        <w:tc>
          <w:tcPr>
            <w:tcW w:type="dxa" w:w="9648"/>
            <w:shd w:val="clear" w:color="auto" w:fill="EAF7FA"/>
            <w:tcBorders>
              <w:start w:val="single" w:sz="24" w:space="0" w:color="0891A8"/>
            </w:tcBorders>
          </w:tcPr>
          <w:p>
            <w:pPr>
              <w:spacing w:before="60" w:after="20"/>
            </w:pPr>
            <w:r>
              <w:rPr>
                <w:rFonts w:ascii="Arial" w:hAnsi="Arial"/>
                <w:b/>
                <w:color w:val="0B1422"/>
                <w:sz w:val="23"/>
              </w:rPr>
              <w:t>Note · The intentional duplicate Dropout</w:t>
            </w:r>
          </w:p>
          <w:p>
            <w:pPr>
              <w:spacing w:before="20" w:after="60"/>
            </w:pPr>
            <w:r>
              <w:rPr>
                <w:rFonts w:ascii="Arial" w:hAnsi="Arial"/>
                <w:b w:val="0"/>
                <w:color w:val="1A2433"/>
                <w:sz w:val="22"/>
              </w:rPr>
              <w:t>Dropout layers have no learnable weights, so the duplicate Dropout(0.3) changes nothing numerically. Its only job is to keep the final Linear layer at state-dict key fc.5. The training script's head used a BatchNorm at that position; to load the shipped weights *strictly* at inference time, the inference head reproduces the same key layout with a second Dropout instead of BatchNorm. Remove it and the final layer shifts to fc.4 and the weights fail to load.</w:t>
            </w:r>
          </w:p>
        </w:tc>
      </w:tr>
    </w:tbl>
    <w:p>
      <w:pPr>
        <w:spacing w:before="40" w:after="120"/>
      </w:pPr>
    </w:p>
    <w:p>
      <w:pPr>
        <w:spacing w:before="320" w:after="80"/>
        <w:pBdr>
          <w:bottom w:val="single" w:sz="12" w:space="6" w:color="DCE6F2"/>
        </w:pBdr>
      </w:pPr>
      <w:r>
        <w:rPr>
          <w:rFonts w:ascii="Arial" w:hAnsi="Arial"/>
          <w:b/>
          <w:color w:val="0891A8"/>
          <w:sz w:val="40"/>
        </w:rPr>
        <w:t xml:space="preserve">08   </w:t>
      </w:r>
      <w:r>
        <w:rPr>
          <w:rFonts w:ascii="Arial" w:hAnsi="Arial"/>
          <w:b/>
          <w:color w:val="0B1422"/>
          <w:sz w:val="40"/>
        </w:rPr>
        <w:t>Training Procedure &amp; Results</w:t>
      </w:r>
    </w:p>
    <w:p>
      <w:pPr>
        <w:spacing w:before="80" w:after="120"/>
      </w:pPr>
      <w:r>
        <w:rPr>
          <w:rFonts w:ascii="Arial" w:hAnsi="Arial"/>
          <w:b w:val="0"/>
          <w:color w:val="5D6B80"/>
          <w:sz w:val="25"/>
        </w:rPr>
        <w:t>The model was trained with the Adam optimizer, label-smoothed cross-entropy, a learning-rate scheduler and early stopping — converging in only seven epochs.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DCE6F2"/>
            <w:vAlign w:val="center"/>
          </w:tcPr>
          <w:p>
            <w:pPr>
              <w:spacing w:before="40" w:after="40"/>
            </w:pPr>
            <w:r>
              <w:rPr>
                <w:rFonts w:ascii="Arial" w:hAnsi="Arial"/>
                <w:b/>
                <w:color w:val="0B1422"/>
                <w:sz w:val="21"/>
              </w:rPr>
              <w:t>Hyperparameter</w:t>
            </w:r>
          </w:p>
        </w:tc>
        <w:tc>
          <w:tcPr>
            <w:tcW w:type="dxa" w:w="3216"/>
            <w:shd w:val="clear" w:color="auto" w:fill="DCE6F2"/>
            <w:vAlign w:val="center"/>
          </w:tcPr>
          <w:p>
            <w:pPr>
              <w:spacing w:before="40" w:after="40"/>
            </w:pPr>
            <w:r>
              <w:rPr>
                <w:rFonts w:ascii="Arial" w:hAnsi="Arial"/>
                <w:b/>
                <w:color w:val="0B1422"/>
                <w:sz w:val="21"/>
              </w:rPr>
              <w:t>Value</w:t>
            </w:r>
          </w:p>
        </w:tc>
        <w:tc>
          <w:tcPr>
            <w:tcW w:type="dxa" w:w="3216"/>
            <w:shd w:val="clear" w:color="auto" w:fill="DCE6F2"/>
            <w:vAlign w:val="center"/>
          </w:tcPr>
          <w:p>
            <w:pPr>
              <w:spacing w:before="40" w:after="40"/>
            </w:pPr>
            <w:r>
              <w:rPr>
                <w:rFonts w:ascii="Arial" w:hAnsi="Arial"/>
                <w:b/>
                <w:color w:val="0B1422"/>
                <w:sz w:val="21"/>
              </w:rPr>
              <w:t>Purpose</w:t>
            </w:r>
          </w:p>
        </w:tc>
      </w:tr>
      <w:tr>
        <w:tc>
          <w:tcPr>
            <w:tcW w:type="dxa" w:w="3216"/>
            <w:vAlign w:val="center"/>
          </w:tcPr>
          <w:p>
            <w:pPr>
              <w:spacing w:before="40" w:after="40"/>
            </w:pPr>
            <w:r>
              <w:rPr>
                <w:rFonts w:ascii="Arial" w:hAnsi="Arial"/>
                <w:b/>
                <w:color w:val="1A2433"/>
                <w:sz w:val="21"/>
              </w:rPr>
              <w:t>Optimizer</w:t>
            </w:r>
          </w:p>
        </w:tc>
        <w:tc>
          <w:tcPr>
            <w:tcW w:type="dxa" w:w="3216"/>
            <w:vAlign w:val="center"/>
          </w:tcPr>
          <w:p>
            <w:pPr>
              <w:spacing w:before="40" w:after="40"/>
            </w:pPr>
            <w:r>
              <w:rPr>
                <w:rFonts w:ascii="Arial" w:hAnsi="Arial"/>
                <w:b w:val="0"/>
                <w:color w:val="1A2433"/>
                <w:sz w:val="21"/>
              </w:rPr>
              <w:t>Adam, lr = 1e-4</w:t>
            </w:r>
          </w:p>
        </w:tc>
        <w:tc>
          <w:tcPr>
            <w:tcW w:type="dxa" w:w="3216"/>
            <w:vAlign w:val="center"/>
          </w:tcPr>
          <w:p>
            <w:pPr>
              <w:spacing w:before="40" w:after="40"/>
            </w:pPr>
            <w:r>
              <w:rPr>
                <w:rFonts w:ascii="Arial" w:hAnsi="Arial"/>
                <w:b w:val="0"/>
                <w:color w:val="1A2433"/>
                <w:sz w:val="21"/>
              </w:rPr>
              <w:t>Adaptive per-parameter step size; stable for fine-tuning.</w:t>
            </w:r>
          </w:p>
        </w:tc>
      </w:tr>
      <w:tr>
        <w:tc>
          <w:tcPr>
            <w:tcW w:type="dxa" w:w="3216"/>
            <w:vAlign w:val="center"/>
          </w:tcPr>
          <w:p>
            <w:pPr>
              <w:spacing w:before="40" w:after="40"/>
            </w:pPr>
            <w:r>
              <w:rPr>
                <w:rFonts w:ascii="Arial" w:hAnsi="Arial"/>
                <w:b/>
                <w:color w:val="1A2433"/>
                <w:sz w:val="21"/>
              </w:rPr>
              <w:t>Loss</w:t>
            </w:r>
          </w:p>
        </w:tc>
        <w:tc>
          <w:tcPr>
            <w:tcW w:type="dxa" w:w="3216"/>
            <w:vAlign w:val="center"/>
          </w:tcPr>
          <w:p>
            <w:pPr>
              <w:spacing w:before="40" w:after="40"/>
            </w:pPr>
            <w:r>
              <w:rPr>
                <w:rFonts w:ascii="Arial" w:hAnsi="Arial"/>
                <w:b w:val="0"/>
                <w:color w:val="1A2433"/>
                <w:sz w:val="21"/>
              </w:rPr>
              <w:t>CrossEntropy, label_smoothing = 0.1</w:t>
            </w:r>
          </w:p>
        </w:tc>
        <w:tc>
          <w:tcPr>
            <w:tcW w:type="dxa" w:w="3216"/>
            <w:vAlign w:val="center"/>
          </w:tcPr>
          <w:p>
            <w:pPr>
              <w:spacing w:before="40" w:after="40"/>
            </w:pPr>
            <w:r>
              <w:rPr>
                <w:rFonts w:ascii="Arial" w:hAnsi="Arial"/>
                <w:b w:val="0"/>
                <w:color w:val="1A2433"/>
                <w:sz w:val="21"/>
              </w:rPr>
              <w:t>Softens hard labels to reduce over-confidence and overfitting.</w:t>
            </w:r>
          </w:p>
        </w:tc>
      </w:tr>
      <w:tr>
        <w:tc>
          <w:tcPr>
            <w:tcW w:type="dxa" w:w="3216"/>
            <w:vAlign w:val="center"/>
          </w:tcPr>
          <w:p>
            <w:pPr>
              <w:spacing w:before="40" w:after="40"/>
            </w:pPr>
            <w:r>
              <w:rPr>
                <w:rFonts w:ascii="Arial" w:hAnsi="Arial"/>
                <w:b/>
                <w:color w:val="1A2433"/>
                <w:sz w:val="21"/>
              </w:rPr>
              <w:t>Weight decay</w:t>
            </w:r>
          </w:p>
        </w:tc>
        <w:tc>
          <w:tcPr>
            <w:tcW w:type="dxa" w:w="3216"/>
            <w:vAlign w:val="center"/>
          </w:tcPr>
          <w:p>
            <w:pPr>
              <w:spacing w:before="40" w:after="40"/>
            </w:pPr>
            <w:r>
              <w:rPr>
                <w:rFonts w:ascii="Arial" w:hAnsi="Arial"/>
                <w:b w:val="0"/>
                <w:color w:val="1A2433"/>
                <w:sz w:val="21"/>
              </w:rPr>
              <w:t>1e-4</w:t>
            </w:r>
          </w:p>
        </w:tc>
        <w:tc>
          <w:tcPr>
            <w:tcW w:type="dxa" w:w="3216"/>
            <w:vAlign w:val="center"/>
          </w:tcPr>
          <w:p>
            <w:pPr>
              <w:spacing w:before="40" w:after="40"/>
            </w:pPr>
            <w:r>
              <w:rPr>
                <w:rFonts w:ascii="Arial" w:hAnsi="Arial"/>
                <w:b w:val="0"/>
                <w:color w:val="1A2433"/>
                <w:sz w:val="21"/>
              </w:rPr>
              <w:t>L2 regularization on trainable weights.</w:t>
            </w:r>
          </w:p>
        </w:tc>
      </w:tr>
      <w:tr>
        <w:tc>
          <w:tcPr>
            <w:tcW w:type="dxa" w:w="3216"/>
            <w:vAlign w:val="center"/>
          </w:tcPr>
          <w:p>
            <w:pPr>
              <w:spacing w:before="40" w:after="40"/>
            </w:pPr>
            <w:r>
              <w:rPr>
                <w:rFonts w:ascii="Arial" w:hAnsi="Arial"/>
                <w:b/>
                <w:color w:val="1A2433"/>
                <w:sz w:val="21"/>
              </w:rPr>
              <w:t>Scheduler</w:t>
            </w:r>
          </w:p>
        </w:tc>
        <w:tc>
          <w:tcPr>
            <w:tcW w:type="dxa" w:w="3216"/>
            <w:vAlign w:val="center"/>
          </w:tcPr>
          <w:p>
            <w:pPr>
              <w:spacing w:before="40" w:after="40"/>
            </w:pPr>
            <w:r>
              <w:rPr>
                <w:rFonts w:ascii="Arial" w:hAnsi="Arial"/>
                <w:b w:val="0"/>
                <w:color w:val="1A2433"/>
                <w:sz w:val="21"/>
              </w:rPr>
              <w:t>ReduceLROnPlateau, ×0.5</w:t>
            </w:r>
          </w:p>
        </w:tc>
        <w:tc>
          <w:tcPr>
            <w:tcW w:type="dxa" w:w="3216"/>
            <w:vAlign w:val="center"/>
          </w:tcPr>
          <w:p>
            <w:pPr>
              <w:spacing w:before="40" w:after="40"/>
            </w:pPr>
            <w:r>
              <w:rPr>
                <w:rFonts w:ascii="Arial" w:hAnsi="Arial"/>
                <w:b w:val="0"/>
                <w:color w:val="1A2433"/>
                <w:sz w:val="21"/>
              </w:rPr>
              <w:t>Halves the LR when validation loss stops improving.</w:t>
            </w:r>
          </w:p>
        </w:tc>
      </w:tr>
      <w:tr>
        <w:tc>
          <w:tcPr>
            <w:tcW w:type="dxa" w:w="3216"/>
            <w:vAlign w:val="center"/>
          </w:tcPr>
          <w:p>
            <w:pPr>
              <w:spacing w:before="40" w:after="40"/>
            </w:pPr>
            <w:r>
              <w:rPr>
                <w:rFonts w:ascii="Arial" w:hAnsi="Arial"/>
                <w:b/>
                <w:color w:val="1A2433"/>
                <w:sz w:val="21"/>
              </w:rPr>
              <w:t>Batch size</w:t>
            </w:r>
          </w:p>
        </w:tc>
        <w:tc>
          <w:tcPr>
            <w:tcW w:type="dxa" w:w="3216"/>
            <w:vAlign w:val="center"/>
          </w:tcPr>
          <w:p>
            <w:pPr>
              <w:spacing w:before="40" w:after="40"/>
            </w:pPr>
            <w:r>
              <w:rPr>
                <w:rFonts w:ascii="Arial" w:hAnsi="Arial"/>
                <w:b w:val="0"/>
                <w:color w:val="1A2433"/>
                <w:sz w:val="21"/>
              </w:rPr>
              <w:t>32</w:t>
            </w:r>
          </w:p>
        </w:tc>
        <w:tc>
          <w:tcPr>
            <w:tcW w:type="dxa" w:w="3216"/>
            <w:vAlign w:val="center"/>
          </w:tcPr>
          <w:p>
            <w:pPr>
              <w:spacing w:before="40" w:after="40"/>
            </w:pPr>
            <w:r>
              <w:rPr>
                <w:rFonts w:ascii="Arial" w:hAnsi="Arial"/>
                <w:b w:val="0"/>
                <w:color w:val="1A2433"/>
                <w:sz w:val="21"/>
              </w:rPr>
              <w:t>Samples per gradient update.</w:t>
            </w:r>
          </w:p>
        </w:tc>
      </w:tr>
      <w:tr>
        <w:tc>
          <w:tcPr>
            <w:tcW w:type="dxa" w:w="3216"/>
            <w:vAlign w:val="center"/>
          </w:tcPr>
          <w:p>
            <w:pPr>
              <w:spacing w:before="40" w:after="40"/>
            </w:pPr>
            <w:r>
              <w:rPr>
                <w:rFonts w:ascii="Arial" w:hAnsi="Arial"/>
                <w:b/>
                <w:color w:val="1A2433"/>
                <w:sz w:val="21"/>
              </w:rPr>
              <w:t>Epochs</w:t>
            </w:r>
          </w:p>
        </w:tc>
        <w:tc>
          <w:tcPr>
            <w:tcW w:type="dxa" w:w="3216"/>
            <w:vAlign w:val="center"/>
          </w:tcPr>
          <w:p>
            <w:pPr>
              <w:spacing w:before="40" w:after="40"/>
            </w:pPr>
            <w:r>
              <w:rPr>
                <w:rFonts w:ascii="Arial" w:hAnsi="Arial"/>
                <w:b w:val="0"/>
                <w:color w:val="1A2433"/>
                <w:sz w:val="21"/>
              </w:rPr>
              <w:t>max 20, patience 5</w:t>
            </w:r>
          </w:p>
        </w:tc>
        <w:tc>
          <w:tcPr>
            <w:tcW w:type="dxa" w:w="3216"/>
            <w:vAlign w:val="center"/>
          </w:tcPr>
          <w:p>
            <w:pPr>
              <w:spacing w:before="40" w:after="40"/>
            </w:pPr>
            <w:r>
              <w:rPr>
                <w:rFonts w:ascii="Arial" w:hAnsi="Arial"/>
                <w:b w:val="0"/>
                <w:color w:val="1A2433"/>
                <w:sz w:val="21"/>
              </w:rPr>
              <w:t>Early stopping ends training when val accuracy stalls.</w:t>
            </w:r>
          </w:p>
        </w:tc>
      </w:tr>
    </w:tbl>
    <w:p>
      <w:pPr>
        <w:spacing w:before="40" w:after="120"/>
      </w:pPr>
    </w:p>
    <w:p>
      <w:pPr>
        <w:spacing w:before="240" w:after="40"/>
      </w:pPr>
      <w:r>
        <w:rPr>
          <w:rFonts w:ascii="Arial" w:hAnsi="Arial"/>
          <w:b/>
          <w:color w:val="0B1422"/>
          <w:sz w:val="27"/>
        </w:rPr>
        <w:t>Actual training log (model_log.csv)</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DCE6F2"/>
            <w:vAlign w:val="center"/>
          </w:tcPr>
          <w:p>
            <w:pPr>
              <w:spacing w:before="40" w:after="40"/>
            </w:pPr>
            <w:r>
              <w:rPr>
                <w:rFonts w:ascii="Arial" w:hAnsi="Arial"/>
                <w:b/>
                <w:color w:val="0B1422"/>
                <w:sz w:val="21"/>
              </w:rPr>
              <w:t>Epoch</w:t>
            </w:r>
          </w:p>
        </w:tc>
        <w:tc>
          <w:tcPr>
            <w:tcW w:type="dxa" w:w="1930"/>
            <w:shd w:val="clear" w:color="auto" w:fill="DCE6F2"/>
            <w:vAlign w:val="center"/>
          </w:tcPr>
          <w:p>
            <w:pPr>
              <w:spacing w:before="40" w:after="40"/>
            </w:pPr>
            <w:r>
              <w:rPr>
                <w:rFonts w:ascii="Arial" w:hAnsi="Arial"/>
                <w:b/>
                <w:color w:val="0B1422"/>
                <w:sz w:val="21"/>
              </w:rPr>
              <w:t>Train acc</w:t>
            </w:r>
          </w:p>
        </w:tc>
        <w:tc>
          <w:tcPr>
            <w:tcW w:type="dxa" w:w="1930"/>
            <w:shd w:val="clear" w:color="auto" w:fill="DCE6F2"/>
            <w:vAlign w:val="center"/>
          </w:tcPr>
          <w:p>
            <w:pPr>
              <w:spacing w:before="40" w:after="40"/>
            </w:pPr>
            <w:r>
              <w:rPr>
                <w:rFonts w:ascii="Arial" w:hAnsi="Arial"/>
                <w:b/>
                <w:color w:val="0B1422"/>
                <w:sz w:val="21"/>
              </w:rPr>
              <w:t>Val acc</w:t>
            </w:r>
          </w:p>
        </w:tc>
        <w:tc>
          <w:tcPr>
            <w:tcW w:type="dxa" w:w="1930"/>
            <w:shd w:val="clear" w:color="auto" w:fill="DCE6F2"/>
            <w:vAlign w:val="center"/>
          </w:tcPr>
          <w:p>
            <w:pPr>
              <w:spacing w:before="40" w:after="40"/>
            </w:pPr>
            <w:r>
              <w:rPr>
                <w:rFonts w:ascii="Arial" w:hAnsi="Arial"/>
                <w:b/>
                <w:color w:val="0B1422"/>
                <w:sz w:val="21"/>
              </w:rPr>
              <w:t>Train loss</w:t>
            </w:r>
          </w:p>
        </w:tc>
        <w:tc>
          <w:tcPr>
            <w:tcW w:type="dxa" w:w="1930"/>
            <w:shd w:val="clear" w:color="auto" w:fill="DCE6F2"/>
            <w:vAlign w:val="center"/>
          </w:tcPr>
          <w:p>
            <w:pPr>
              <w:spacing w:before="40" w:after="40"/>
            </w:pPr>
            <w:r>
              <w:rPr>
                <w:rFonts w:ascii="Arial" w:hAnsi="Arial"/>
                <w:b/>
                <w:color w:val="0B1422"/>
                <w:sz w:val="21"/>
              </w:rPr>
              <w:t>Val loss</w:t>
            </w:r>
          </w:p>
        </w:tc>
      </w:tr>
      <w:tr>
        <w:tc>
          <w:tcPr>
            <w:tcW w:type="dxa" w:w="1930"/>
            <w:vAlign w:val="center"/>
          </w:tcPr>
          <w:p>
            <w:pPr>
              <w:spacing w:before="40" w:after="40"/>
            </w:pPr>
            <w:r>
              <w:rPr>
                <w:rFonts w:ascii="Arial" w:hAnsi="Arial"/>
                <w:b/>
                <w:color w:val="1A2433"/>
                <w:sz w:val="21"/>
              </w:rPr>
              <w:t>1</w:t>
            </w:r>
          </w:p>
        </w:tc>
        <w:tc>
          <w:tcPr>
            <w:tcW w:type="dxa" w:w="1930"/>
            <w:vAlign w:val="center"/>
          </w:tcPr>
          <w:p>
            <w:pPr>
              <w:spacing w:before="40" w:after="40"/>
            </w:pPr>
            <w:r>
              <w:rPr>
                <w:rFonts w:ascii="Arial" w:hAnsi="Arial"/>
                <w:b w:val="0"/>
                <w:color w:val="1A2433"/>
                <w:sz w:val="21"/>
              </w:rPr>
              <w:t>88.20%</w:t>
            </w:r>
          </w:p>
        </w:tc>
        <w:tc>
          <w:tcPr>
            <w:tcW w:type="dxa" w:w="1930"/>
            <w:vAlign w:val="center"/>
          </w:tcPr>
          <w:p>
            <w:pPr>
              <w:spacing w:before="40" w:after="40"/>
            </w:pPr>
            <w:r>
              <w:rPr>
                <w:rFonts w:ascii="Arial" w:hAnsi="Arial"/>
                <w:b w:val="0"/>
                <w:color w:val="1A2433"/>
                <w:sz w:val="21"/>
              </w:rPr>
              <w:t>94.36%</w:t>
            </w:r>
          </w:p>
        </w:tc>
        <w:tc>
          <w:tcPr>
            <w:tcW w:type="dxa" w:w="1930"/>
            <w:vAlign w:val="center"/>
          </w:tcPr>
          <w:p>
            <w:pPr>
              <w:spacing w:before="40" w:after="40"/>
            </w:pPr>
            <w:r>
              <w:rPr>
                <w:rFonts w:ascii="Arial" w:hAnsi="Arial"/>
                <w:b w:val="0"/>
                <w:color w:val="1A2433"/>
                <w:sz w:val="21"/>
              </w:rPr>
              <w:t>0.3306</w:t>
            </w:r>
          </w:p>
        </w:tc>
        <w:tc>
          <w:tcPr>
            <w:tcW w:type="dxa" w:w="1930"/>
            <w:vAlign w:val="center"/>
          </w:tcPr>
          <w:p>
            <w:pPr>
              <w:spacing w:before="40" w:after="40"/>
            </w:pPr>
            <w:r>
              <w:rPr>
                <w:rFonts w:ascii="Arial" w:hAnsi="Arial"/>
                <w:b w:val="0"/>
                <w:color w:val="1A2433"/>
                <w:sz w:val="21"/>
              </w:rPr>
              <w:t>0.1575</w:t>
            </w:r>
          </w:p>
        </w:tc>
      </w:tr>
      <w:tr>
        <w:tc>
          <w:tcPr>
            <w:tcW w:type="dxa" w:w="1930"/>
            <w:vAlign w:val="center"/>
          </w:tcPr>
          <w:p>
            <w:pPr>
              <w:spacing w:before="40" w:after="40"/>
            </w:pPr>
            <w:r>
              <w:rPr>
                <w:rFonts w:ascii="Arial" w:hAnsi="Arial"/>
                <w:b/>
                <w:color w:val="1A2433"/>
                <w:sz w:val="21"/>
              </w:rPr>
              <w:t>2</w:t>
            </w:r>
          </w:p>
        </w:tc>
        <w:tc>
          <w:tcPr>
            <w:tcW w:type="dxa" w:w="1930"/>
            <w:vAlign w:val="center"/>
          </w:tcPr>
          <w:p>
            <w:pPr>
              <w:spacing w:before="40" w:after="40"/>
            </w:pPr>
            <w:r>
              <w:rPr>
                <w:rFonts w:ascii="Arial" w:hAnsi="Arial"/>
                <w:b w:val="0"/>
                <w:color w:val="1A2433"/>
                <w:sz w:val="21"/>
              </w:rPr>
              <w:t>96.78%</w:t>
            </w:r>
          </w:p>
        </w:tc>
        <w:tc>
          <w:tcPr>
            <w:tcW w:type="dxa" w:w="1930"/>
            <w:vAlign w:val="center"/>
          </w:tcPr>
          <w:p>
            <w:pPr>
              <w:spacing w:before="40" w:after="40"/>
            </w:pPr>
            <w:r>
              <w:rPr>
                <w:rFonts w:ascii="Arial" w:hAnsi="Arial"/>
                <w:b w:val="0"/>
                <w:color w:val="1A2433"/>
                <w:sz w:val="21"/>
              </w:rPr>
              <w:t>98.47%</w:t>
            </w:r>
          </w:p>
        </w:tc>
        <w:tc>
          <w:tcPr>
            <w:tcW w:type="dxa" w:w="1930"/>
            <w:vAlign w:val="center"/>
          </w:tcPr>
          <w:p>
            <w:pPr>
              <w:spacing w:before="40" w:after="40"/>
            </w:pPr>
            <w:r>
              <w:rPr>
                <w:rFonts w:ascii="Arial" w:hAnsi="Arial"/>
                <w:b w:val="0"/>
                <w:color w:val="1A2433"/>
                <w:sz w:val="21"/>
              </w:rPr>
              <w:t>0.0999</w:t>
            </w:r>
          </w:p>
        </w:tc>
        <w:tc>
          <w:tcPr>
            <w:tcW w:type="dxa" w:w="1930"/>
            <w:vAlign w:val="center"/>
          </w:tcPr>
          <w:p>
            <w:pPr>
              <w:spacing w:before="40" w:after="40"/>
            </w:pPr>
            <w:r>
              <w:rPr>
                <w:rFonts w:ascii="Arial" w:hAnsi="Arial"/>
                <w:b w:val="0"/>
                <w:color w:val="1A2433"/>
                <w:sz w:val="21"/>
              </w:rPr>
              <w:t>0.0525</w:t>
            </w:r>
          </w:p>
        </w:tc>
      </w:tr>
      <w:tr>
        <w:tc>
          <w:tcPr>
            <w:tcW w:type="dxa" w:w="1930"/>
            <w:vAlign w:val="center"/>
          </w:tcPr>
          <w:p>
            <w:pPr>
              <w:spacing w:before="40" w:after="40"/>
            </w:pPr>
            <w:r>
              <w:rPr>
                <w:rFonts w:ascii="Arial" w:hAnsi="Arial"/>
                <w:b/>
                <w:color w:val="1A2433"/>
                <w:sz w:val="21"/>
              </w:rPr>
              <w:t>3</w:t>
            </w:r>
          </w:p>
        </w:tc>
        <w:tc>
          <w:tcPr>
            <w:tcW w:type="dxa" w:w="1930"/>
            <w:vAlign w:val="center"/>
          </w:tcPr>
          <w:p>
            <w:pPr>
              <w:spacing w:before="40" w:after="40"/>
            </w:pPr>
            <w:r>
              <w:rPr>
                <w:rFonts w:ascii="Arial" w:hAnsi="Arial"/>
                <w:b w:val="0"/>
                <w:color w:val="1A2433"/>
                <w:sz w:val="21"/>
              </w:rPr>
              <w:t>98.00%</w:t>
            </w:r>
          </w:p>
        </w:tc>
        <w:tc>
          <w:tcPr>
            <w:tcW w:type="dxa" w:w="1930"/>
            <w:vAlign w:val="center"/>
          </w:tcPr>
          <w:p>
            <w:pPr>
              <w:spacing w:before="40" w:after="40"/>
            </w:pPr>
            <w:r>
              <w:rPr>
                <w:rFonts w:ascii="Arial" w:hAnsi="Arial"/>
                <w:b w:val="0"/>
                <w:color w:val="1A2433"/>
                <w:sz w:val="21"/>
              </w:rPr>
              <w:t>98.32%</w:t>
            </w:r>
          </w:p>
        </w:tc>
        <w:tc>
          <w:tcPr>
            <w:tcW w:type="dxa" w:w="1930"/>
            <w:vAlign w:val="center"/>
          </w:tcPr>
          <w:p>
            <w:pPr>
              <w:spacing w:before="40" w:after="40"/>
            </w:pPr>
            <w:r>
              <w:rPr>
                <w:rFonts w:ascii="Arial" w:hAnsi="Arial"/>
                <w:b w:val="0"/>
                <w:color w:val="1A2433"/>
                <w:sz w:val="21"/>
              </w:rPr>
              <w:t>0.0683</w:t>
            </w:r>
          </w:p>
        </w:tc>
        <w:tc>
          <w:tcPr>
            <w:tcW w:type="dxa" w:w="1930"/>
            <w:vAlign w:val="center"/>
          </w:tcPr>
          <w:p>
            <w:pPr>
              <w:spacing w:before="40" w:after="40"/>
            </w:pPr>
            <w:r>
              <w:rPr>
                <w:rFonts w:ascii="Arial" w:hAnsi="Arial"/>
                <w:b w:val="0"/>
                <w:color w:val="1A2433"/>
                <w:sz w:val="21"/>
              </w:rPr>
              <w:t>0.0525</w:t>
            </w:r>
          </w:p>
        </w:tc>
      </w:tr>
      <w:tr>
        <w:tc>
          <w:tcPr>
            <w:tcW w:type="dxa" w:w="1930"/>
            <w:vAlign w:val="center"/>
          </w:tcPr>
          <w:p>
            <w:pPr>
              <w:spacing w:before="40" w:after="40"/>
            </w:pPr>
            <w:r>
              <w:rPr>
                <w:rFonts w:ascii="Arial" w:hAnsi="Arial"/>
                <w:b/>
                <w:color w:val="1A2433"/>
                <w:sz w:val="21"/>
              </w:rPr>
              <w:t>4</w:t>
            </w:r>
          </w:p>
        </w:tc>
        <w:tc>
          <w:tcPr>
            <w:tcW w:type="dxa" w:w="1930"/>
            <w:vAlign w:val="center"/>
          </w:tcPr>
          <w:p>
            <w:pPr>
              <w:spacing w:before="40" w:after="40"/>
            </w:pPr>
            <w:r>
              <w:rPr>
                <w:rFonts w:ascii="Arial" w:hAnsi="Arial"/>
                <w:b w:val="0"/>
                <w:color w:val="1A2433"/>
                <w:sz w:val="21"/>
              </w:rPr>
              <w:t>98.34%</w:t>
            </w:r>
          </w:p>
        </w:tc>
        <w:tc>
          <w:tcPr>
            <w:tcW w:type="dxa" w:w="1930"/>
            <w:vAlign w:val="center"/>
          </w:tcPr>
          <w:p>
            <w:pPr>
              <w:spacing w:before="40" w:after="40"/>
            </w:pPr>
            <w:r>
              <w:rPr>
                <w:rFonts w:ascii="Arial" w:hAnsi="Arial"/>
                <w:b w:val="0"/>
                <w:color w:val="1A2433"/>
                <w:sz w:val="21"/>
              </w:rPr>
              <w:t>98.63%</w:t>
            </w:r>
          </w:p>
        </w:tc>
        <w:tc>
          <w:tcPr>
            <w:tcW w:type="dxa" w:w="1930"/>
            <w:vAlign w:val="center"/>
          </w:tcPr>
          <w:p>
            <w:pPr>
              <w:spacing w:before="40" w:after="40"/>
            </w:pPr>
            <w:r>
              <w:rPr>
                <w:rFonts w:ascii="Arial" w:hAnsi="Arial"/>
                <w:b w:val="0"/>
                <w:color w:val="1A2433"/>
                <w:sz w:val="21"/>
              </w:rPr>
              <w:t>0.0540</w:t>
            </w:r>
          </w:p>
        </w:tc>
        <w:tc>
          <w:tcPr>
            <w:tcW w:type="dxa" w:w="1930"/>
            <w:vAlign w:val="center"/>
          </w:tcPr>
          <w:p>
            <w:pPr>
              <w:spacing w:before="40" w:after="40"/>
            </w:pPr>
            <w:r>
              <w:rPr>
                <w:rFonts w:ascii="Arial" w:hAnsi="Arial"/>
                <w:b w:val="0"/>
                <w:color w:val="1A2433"/>
                <w:sz w:val="21"/>
              </w:rPr>
              <w:t>0.0438</w:t>
            </w:r>
          </w:p>
        </w:tc>
      </w:tr>
      <w:tr>
        <w:tc>
          <w:tcPr>
            <w:tcW w:type="dxa" w:w="1930"/>
            <w:vAlign w:val="center"/>
          </w:tcPr>
          <w:p>
            <w:pPr>
              <w:spacing w:before="40" w:after="40"/>
            </w:pPr>
            <w:r>
              <w:rPr>
                <w:rFonts w:ascii="Arial" w:hAnsi="Arial"/>
                <w:b/>
                <w:color w:val="1A2433"/>
                <w:sz w:val="21"/>
              </w:rPr>
              <w:t>5</w:t>
            </w:r>
          </w:p>
        </w:tc>
        <w:tc>
          <w:tcPr>
            <w:tcW w:type="dxa" w:w="1930"/>
            <w:vAlign w:val="center"/>
          </w:tcPr>
          <w:p>
            <w:pPr>
              <w:spacing w:before="40" w:after="40"/>
            </w:pPr>
            <w:r>
              <w:rPr>
                <w:rFonts w:ascii="Arial" w:hAnsi="Arial"/>
                <w:b w:val="0"/>
                <w:color w:val="1A2433"/>
                <w:sz w:val="21"/>
              </w:rPr>
              <w:t>98.84%</w:t>
            </w:r>
          </w:p>
        </w:tc>
        <w:tc>
          <w:tcPr>
            <w:tcW w:type="dxa" w:w="1930"/>
            <w:vAlign w:val="center"/>
          </w:tcPr>
          <w:p>
            <w:pPr>
              <w:spacing w:before="40" w:after="40"/>
            </w:pPr>
            <w:r>
              <w:rPr>
                <w:rFonts w:ascii="Arial" w:hAnsi="Arial"/>
                <w:b w:val="0"/>
                <w:color w:val="1A2433"/>
                <w:sz w:val="21"/>
              </w:rPr>
              <w:t>98.25%</w:t>
            </w:r>
          </w:p>
        </w:tc>
        <w:tc>
          <w:tcPr>
            <w:tcW w:type="dxa" w:w="1930"/>
            <w:vAlign w:val="center"/>
          </w:tcPr>
          <w:p>
            <w:pPr>
              <w:spacing w:before="40" w:after="40"/>
            </w:pPr>
            <w:r>
              <w:rPr>
                <w:rFonts w:ascii="Arial" w:hAnsi="Arial"/>
                <w:b w:val="0"/>
                <w:color w:val="1A2433"/>
                <w:sz w:val="21"/>
              </w:rPr>
              <w:t>0.0438</w:t>
            </w:r>
          </w:p>
        </w:tc>
        <w:tc>
          <w:tcPr>
            <w:tcW w:type="dxa" w:w="1930"/>
            <w:vAlign w:val="center"/>
          </w:tcPr>
          <w:p>
            <w:pPr>
              <w:spacing w:before="40" w:after="40"/>
            </w:pPr>
            <w:r>
              <w:rPr>
                <w:rFonts w:ascii="Arial" w:hAnsi="Arial"/>
                <w:b w:val="0"/>
                <w:color w:val="1A2433"/>
                <w:sz w:val="21"/>
              </w:rPr>
              <w:t>0.0644</w:t>
            </w:r>
          </w:p>
        </w:tc>
      </w:tr>
      <w:tr>
        <w:tc>
          <w:tcPr>
            <w:tcW w:type="dxa" w:w="1930"/>
            <w:vAlign w:val="center"/>
          </w:tcPr>
          <w:p>
            <w:pPr>
              <w:spacing w:before="40" w:after="40"/>
            </w:pPr>
            <w:r>
              <w:rPr>
                <w:rFonts w:ascii="Arial" w:hAnsi="Arial"/>
                <w:b/>
                <w:color w:val="1A2433"/>
                <w:sz w:val="21"/>
              </w:rPr>
              <w:t>6</w:t>
            </w:r>
          </w:p>
        </w:tc>
        <w:tc>
          <w:tcPr>
            <w:tcW w:type="dxa" w:w="1930"/>
            <w:vAlign w:val="center"/>
          </w:tcPr>
          <w:p>
            <w:pPr>
              <w:spacing w:before="40" w:after="40"/>
            </w:pPr>
            <w:r>
              <w:rPr>
                <w:rFonts w:ascii="Arial" w:hAnsi="Arial"/>
                <w:b w:val="0"/>
                <w:color w:val="1A2433"/>
                <w:sz w:val="21"/>
              </w:rPr>
              <w:t>99.05%</w:t>
            </w:r>
          </w:p>
        </w:tc>
        <w:tc>
          <w:tcPr>
            <w:tcW w:type="dxa" w:w="1930"/>
            <w:vAlign w:val="center"/>
          </w:tcPr>
          <w:p>
            <w:pPr>
              <w:spacing w:before="40" w:after="40"/>
            </w:pPr>
            <w:r>
              <w:rPr>
                <w:rFonts w:ascii="Arial" w:hAnsi="Arial"/>
                <w:b w:val="0"/>
                <w:color w:val="1A2433"/>
                <w:sz w:val="21"/>
              </w:rPr>
              <w:t>99.39%</w:t>
            </w:r>
          </w:p>
        </w:tc>
        <w:tc>
          <w:tcPr>
            <w:tcW w:type="dxa" w:w="1930"/>
            <w:vAlign w:val="center"/>
          </w:tcPr>
          <w:p>
            <w:pPr>
              <w:spacing w:before="40" w:after="40"/>
            </w:pPr>
            <w:r>
              <w:rPr>
                <w:rFonts w:ascii="Arial" w:hAnsi="Arial"/>
                <w:b w:val="0"/>
                <w:color w:val="1A2433"/>
                <w:sz w:val="21"/>
              </w:rPr>
              <w:t>0.0305</w:t>
            </w:r>
          </w:p>
        </w:tc>
        <w:tc>
          <w:tcPr>
            <w:tcW w:type="dxa" w:w="1930"/>
            <w:vAlign w:val="center"/>
          </w:tcPr>
          <w:p>
            <w:pPr>
              <w:spacing w:before="40" w:after="40"/>
            </w:pPr>
            <w:r>
              <w:rPr>
                <w:rFonts w:ascii="Arial" w:hAnsi="Arial"/>
                <w:b w:val="0"/>
                <w:color w:val="1A2433"/>
                <w:sz w:val="21"/>
              </w:rPr>
              <w:t>0.0197</w:t>
            </w:r>
          </w:p>
        </w:tc>
      </w:tr>
      <w:tr>
        <w:tc>
          <w:tcPr>
            <w:tcW w:type="dxa" w:w="1930"/>
            <w:vAlign w:val="center"/>
          </w:tcPr>
          <w:p>
            <w:pPr>
              <w:spacing w:before="40" w:after="40"/>
            </w:pPr>
            <w:r>
              <w:rPr>
                <w:rFonts w:ascii="Arial" w:hAnsi="Arial"/>
                <w:b/>
                <w:color w:val="1A2433"/>
                <w:sz w:val="21"/>
              </w:rPr>
              <w:t>7</w:t>
            </w:r>
          </w:p>
        </w:tc>
        <w:tc>
          <w:tcPr>
            <w:tcW w:type="dxa" w:w="1930"/>
            <w:vAlign w:val="center"/>
          </w:tcPr>
          <w:p>
            <w:pPr>
              <w:spacing w:before="40" w:after="40"/>
            </w:pPr>
            <w:r>
              <w:rPr>
                <w:rFonts w:ascii="Arial" w:hAnsi="Arial"/>
                <w:b w:val="0"/>
                <w:color w:val="1A2433"/>
                <w:sz w:val="21"/>
              </w:rPr>
              <w:t>98.77%</w:t>
            </w:r>
          </w:p>
        </w:tc>
        <w:tc>
          <w:tcPr>
            <w:tcW w:type="dxa" w:w="1930"/>
            <w:vAlign w:val="center"/>
          </w:tcPr>
          <w:p>
            <w:pPr>
              <w:spacing w:before="40" w:after="40"/>
            </w:pPr>
            <w:r>
              <w:rPr>
                <w:rFonts w:ascii="Arial" w:hAnsi="Arial"/>
                <w:b w:val="0"/>
                <w:color w:val="1A2433"/>
                <w:sz w:val="21"/>
              </w:rPr>
              <w:t>99.16%</w:t>
            </w:r>
          </w:p>
        </w:tc>
        <w:tc>
          <w:tcPr>
            <w:tcW w:type="dxa" w:w="1930"/>
            <w:vAlign w:val="center"/>
          </w:tcPr>
          <w:p>
            <w:pPr>
              <w:spacing w:before="40" w:after="40"/>
            </w:pPr>
            <w:r>
              <w:rPr>
                <w:rFonts w:ascii="Arial" w:hAnsi="Arial"/>
                <w:b w:val="0"/>
                <w:color w:val="1A2433"/>
                <w:sz w:val="21"/>
              </w:rPr>
              <w:t>0.0482</w:t>
            </w:r>
          </w:p>
        </w:tc>
        <w:tc>
          <w:tcPr>
            <w:tcW w:type="dxa" w:w="1930"/>
            <w:vAlign w:val="center"/>
          </w:tcPr>
          <w:p>
            <w:pPr>
              <w:spacing w:before="40" w:after="40"/>
            </w:pPr>
            <w:r>
              <w:rPr>
                <w:rFonts w:ascii="Arial" w:hAnsi="Arial"/>
                <w:b w:val="0"/>
                <w:color w:val="1A2433"/>
                <w:sz w:val="21"/>
              </w:rPr>
              <w:t>0.0279</w:t>
            </w:r>
          </w:p>
        </w:tc>
      </w:tr>
    </w:tbl>
    <w:p>
      <w:pPr>
        <w:spacing w:before="40" w:after="120"/>
      </w:pPr>
    </w:p>
    <w:p>
      <w:pPr>
        <w:jc w:val="center"/>
      </w:pPr>
      <w:r>
        <w:drawing>
          <wp:inline xmlns:a="http://schemas.openxmlformats.org/drawingml/2006/main" xmlns:pic="http://schemas.openxmlformats.org/drawingml/2006/picture">
            <wp:extent cx="5669280" cy="2381615"/>
            <wp:docPr id="3" name="Picture 3"/>
            <wp:cNvGraphicFramePr>
              <a:graphicFrameLocks noChangeAspect="1"/>
            </wp:cNvGraphicFramePr>
            <a:graphic>
              <a:graphicData uri="http://schemas.openxmlformats.org/drawingml/2006/picture">
                <pic:pic>
                  <pic:nvPicPr>
                    <pic:cNvPr id="0" name="training_curves.png"/>
                    <pic:cNvPicPr/>
                  </pic:nvPicPr>
                  <pic:blipFill>
                    <a:blip r:embed="rId11"/>
                    <a:stretch>
                      <a:fillRect/>
                    </a:stretch>
                  </pic:blipFill>
                  <pic:spPr>
                    <a:xfrm>
                      <a:off x="0" y="0"/>
                      <a:ext cx="5669280" cy="2381615"/>
                    </a:xfrm>
                    <a:prstGeom prst="rect"/>
                  </pic:spPr>
                </pic:pic>
              </a:graphicData>
            </a:graphic>
          </wp:inline>
        </w:drawing>
      </w:r>
    </w:p>
    <w:p>
      <w:pPr>
        <w:spacing w:before="40" w:after="160"/>
        <w:jc w:val="center"/>
      </w:pPr>
      <w:r>
        <w:rPr>
          <w:rFonts w:ascii="Arial" w:hAnsi="Arial"/>
          <w:b w:val="0"/>
          <w:color w:val="5D6B80"/>
          <w:sz w:val="19"/>
        </w:rPr>
        <w:t>Accuracy and loss over the 7 epochs. Best validation accuracy was 99.39% at epoch 6.</w:t>
      </w:r>
    </w:p>
    <w:p>
      <w:pPr>
        <w:spacing w:before="80" w:after="80"/>
      </w:pPr>
      <w:r>
        <w:rPr>
          <w:rFonts w:ascii="Arial" w:hAnsi="Arial"/>
          <w:b w:val="0"/>
          <w:color w:val="1A2433"/>
          <w:sz w:val="22"/>
        </w:rPr>
        <w:t>Training also writes the weights (model_class.pth), the log (model_log.csv), and two plots (learning_curves.png, confusion_matrix.png) to the repository root.</w:t>
      </w:r>
    </w:p>
    <w:p>
      <w:pPr>
        <w:spacing w:before="320" w:after="80"/>
        <w:pBdr>
          <w:bottom w:val="single" w:sz="12" w:space="6" w:color="DCE6F2"/>
        </w:pBdr>
      </w:pPr>
      <w:r>
        <w:rPr>
          <w:rFonts w:ascii="Arial" w:hAnsi="Arial"/>
          <w:b/>
          <w:color w:val="0891A8"/>
          <w:sz w:val="40"/>
        </w:rPr>
        <w:t xml:space="preserve">09   </w:t>
      </w:r>
      <w:r>
        <w:rPr>
          <w:rFonts w:ascii="Arial" w:hAnsi="Arial"/>
          <w:b/>
          <w:color w:val="0B1422"/>
          <w:sz w:val="40"/>
        </w:rPr>
        <w:t>Honest Limitations &amp; the “Claimed” Accuracy</w:t>
      </w:r>
    </w:p>
    <w:p>
      <w:pPr>
        <w:spacing w:before="80" w:after="120"/>
      </w:pPr>
      <w:r>
        <w:rPr>
          <w:rFonts w:ascii="Arial" w:hAnsi="Arial"/>
          <w:b w:val="0"/>
          <w:color w:val="5D6B80"/>
          <w:sz w:val="25"/>
        </w:rPr>
        <w:t>The headline 99% number is presented as “claimed,” not validated — because of a known methodological flaw the project openly documents.</w:t>
      </w:r>
    </w:p>
    <w:tbl>
      <w:tblPr>
        <w:tblW w:type="auto" w:w="0"/>
        <w:tblLook w:firstColumn="1" w:firstRow="1" w:lastColumn="0" w:lastRow="0" w:noHBand="0" w:noVBand="1" w:val="04A0"/>
      </w:tblPr>
      <w:tblGrid>
        <w:gridCol w:w="9648"/>
      </w:tblGrid>
      <w:tr>
        <w:tc>
          <w:tcPr>
            <w:tcW w:type="dxa" w:w="9648"/>
            <w:shd w:val="clear" w:color="auto" w:fill="FBF1E2"/>
            <w:tcBorders>
              <w:start w:val="single" w:sz="24" w:space="0" w:color="B9701A"/>
            </w:tcBorders>
          </w:tcPr>
          <w:p>
            <w:pPr>
              <w:spacing w:before="60" w:after="20"/>
            </w:pPr>
            <w:r>
              <w:rPr>
                <w:rFonts w:ascii="Arial" w:hAnsi="Arial"/>
                <w:b/>
                <w:color w:val="0B1422"/>
                <w:sz w:val="23"/>
              </w:rPr>
              <w:t>Important · Data leakage: test set reused for validation</w:t>
            </w:r>
          </w:p>
          <w:p>
            <w:pPr>
              <w:spacing w:before="20" w:after="60"/>
            </w:pPr>
            <w:r>
              <w:rPr>
                <w:rFonts w:ascii="Arial" w:hAnsi="Arial"/>
                <w:b w:val="0"/>
                <w:color w:val="1A2433"/>
                <w:sz w:val="22"/>
              </w:rPr>
              <w:t>train.py uses the same test set for validation and early-stopping. That means model selection (when to stop, when to lower the LR) was tuned on the very data used to report accuracy. The result is an optimistic figure, not an unbiased estimate of how the model performs on truly unseen scans.</w:t>
            </w:r>
          </w:p>
        </w:tc>
      </w:tr>
    </w:tbl>
    <w:p>
      <w:pPr>
        <w:spacing w:before="40" w:after="120"/>
      </w:pPr>
    </w:p>
    <w:p>
      <w:pPr>
        <w:spacing w:before="80" w:after="80"/>
      </w:pPr>
      <w:r>
        <w:rPr>
          <w:rFonts w:ascii="Arial" w:hAnsi="Arial"/>
          <w:b w:val="0"/>
          <w:color w:val="1A2433"/>
          <w:sz w:val="22"/>
        </w:rPr>
        <w:t>The backend's metrics endpoint and the web UI both surface this caveat explicitly, labelling the figure “claimed accuracy.” Acknowledging the flaw is deliberate: it is more scientifically honest than presenting 99% as a validated result.</w:t>
      </w:r>
    </w:p>
    <w:p>
      <w:pPr>
        <w:spacing w:before="240" w:after="40"/>
      </w:pPr>
      <w:r>
        <w:rPr>
          <w:rFonts w:ascii="Arial" w:hAnsi="Arial"/>
          <w:b/>
          <w:color w:val="0B1422"/>
          <w:sz w:val="27"/>
        </w:rPr>
        <w:t>Other limitations</w:t>
      </w:r>
    </w:p>
    <w:p>
      <w:pPr>
        <w:pStyle w:val="ListBullet"/>
        <w:spacing w:before="80" w:after="80"/>
      </w:pPr>
      <w:r>
        <w:rPr>
          <w:rFonts w:ascii="Arial" w:hAnsi="Arial"/>
          <w:b w:val="0"/>
          <w:color w:val="1A2433"/>
          <w:sz w:val="22"/>
        </w:rPr>
        <w:t>Single-source data: the model may not generalize to other scanners, hospitals or populations.</w:t>
      </w:r>
    </w:p>
    <w:p>
      <w:pPr>
        <w:pStyle w:val="ListBullet"/>
        <w:spacing w:before="80" w:after="80"/>
      </w:pPr>
      <w:r>
        <w:rPr>
          <w:rFonts w:ascii="Arial" w:hAnsi="Arial"/>
          <w:b w:val="0"/>
          <w:color w:val="1A2433"/>
          <w:sz w:val="22"/>
        </w:rPr>
        <w:t>Classification only: it does not localize, segment or stage a tumor.</w:t>
      </w:r>
    </w:p>
    <w:p>
      <w:pPr>
        <w:pStyle w:val="ListBullet"/>
        <w:spacing w:before="80" w:after="80"/>
      </w:pPr>
      <w:r>
        <w:rPr>
          <w:rFonts w:ascii="Arial" w:hAnsi="Arial"/>
          <w:b w:val="0"/>
          <w:color w:val="1A2433"/>
          <w:sz w:val="22"/>
        </w:rPr>
        <w:t>No clinical validation: it has never been tested in a real clinical workflow.</w:t>
      </w:r>
    </w:p>
    <w:p>
      <w:pPr>
        <w:pStyle w:val="ListBullet"/>
        <w:spacing w:before="80" w:after="80"/>
      </w:pPr>
      <w:r>
        <w:rPr>
          <w:rFonts w:ascii="Arial" w:hAnsi="Arial"/>
          <w:b w:val="0"/>
          <w:color w:val="1A2433"/>
          <w:sz w:val="22"/>
        </w:rPr>
        <w:t>Educational use only: by design, never a diagnostic tool.</w:t>
      </w:r>
    </w:p>
    <w:p>
      <w:pPr>
        <w:spacing w:before="320" w:after="80"/>
        <w:pBdr>
          <w:bottom w:val="single" w:sz="12" w:space="6" w:color="DCE6F2"/>
        </w:pBdr>
      </w:pPr>
      <w:r>
        <w:rPr>
          <w:rFonts w:ascii="Arial" w:hAnsi="Arial"/>
          <w:b/>
          <w:color w:val="0891A8"/>
          <w:sz w:val="40"/>
        </w:rPr>
        <w:t xml:space="preserve">10   </w:t>
      </w:r>
      <w:r>
        <w:rPr>
          <w:rFonts w:ascii="Arial" w:hAnsi="Arial"/>
          <w:b/>
          <w:color w:val="0B1422"/>
          <w:sz w:val="40"/>
        </w:rPr>
        <w:t>Inference Flow</w:t>
      </w:r>
    </w:p>
    <w:p>
      <w:pPr>
        <w:spacing w:before="80" w:after="120"/>
      </w:pPr>
      <w:r>
        <w:rPr>
          <w:rFonts w:ascii="Arial" w:hAnsi="Arial"/>
          <w:b w:val="0"/>
          <w:color w:val="5D6B80"/>
          <w:sz w:val="25"/>
        </w:rPr>
        <w:t>What happens, step by step, when one image is classified inside predict_core().</w:t>
      </w:r>
    </w:p>
    <w:p>
      <w:pPr>
        <w:pStyle w:val="ListNumber"/>
        <w:spacing w:before="80" w:after="80"/>
      </w:pPr>
      <w:r>
        <w:rPr>
          <w:rFonts w:ascii="Arial" w:hAnsi="Arial"/>
          <w:b w:val="0"/>
          <w:color w:val="1A2433"/>
          <w:sz w:val="22"/>
        </w:rPr>
        <w:t>Convert the uploaded image to RGB (drops any alpha channel).</w:t>
      </w:r>
    </w:p>
    <w:p>
      <w:pPr>
        <w:pStyle w:val="ListNumber"/>
        <w:spacing w:before="80" w:after="80"/>
      </w:pPr>
      <w:r>
        <w:rPr>
          <w:rFonts w:ascii="Arial" w:hAnsi="Arial"/>
          <w:b w:val="0"/>
          <w:color w:val="1A2433"/>
          <w:sz w:val="22"/>
        </w:rPr>
        <w:t>Apply TRANSFORM and add a batch dimension → tensor shape (1, 3, 224, 224).</w:t>
      </w:r>
    </w:p>
    <w:p>
      <w:pPr>
        <w:pStyle w:val="ListNumber"/>
        <w:spacing w:before="80" w:after="80"/>
      </w:pPr>
      <w:r>
        <w:rPr>
          <w:rFonts w:ascii="Arial" w:hAnsi="Arial"/>
          <w:b w:val="0"/>
          <w:color w:val="1A2433"/>
          <w:sz w:val="22"/>
        </w:rPr>
        <w:t>Run a forward pass with gradients disabled (torch.no_grad) → 4 raw logits.</w:t>
      </w:r>
    </w:p>
    <w:p>
      <w:pPr>
        <w:pStyle w:val="ListNumber"/>
        <w:spacing w:before="80" w:after="80"/>
      </w:pPr>
      <w:r>
        <w:rPr>
          <w:rFonts w:ascii="Arial" w:hAnsi="Arial"/>
          <w:b w:val="0"/>
          <w:color w:val="1A2433"/>
          <w:sz w:val="22"/>
        </w:rPr>
        <w:t>Apply softmax to turn logits into probabilities that sum to 1.</w:t>
      </w:r>
    </w:p>
    <w:p>
      <w:pPr>
        <w:pStyle w:val="ListNumber"/>
        <w:spacing w:before="80" w:after="80"/>
      </w:pPr>
      <w:r>
        <w:rPr>
          <w:rFonts w:ascii="Arial" w:hAnsi="Arial"/>
          <w:b w:val="0"/>
          <w:color w:val="1A2433"/>
          <w:sz w:val="22"/>
        </w:rPr>
        <w:t>Map each probability to its class name and pick the highest as the top class.</w:t>
      </w:r>
    </w:p>
    <w:p>
      <w:pPr>
        <w:pStyle w:val="ListNumber"/>
        <w:spacing w:before="80" w:after="80"/>
      </w:pPr>
      <w:r>
        <w:rPr>
          <w:rFonts w:ascii="Arial" w:hAnsi="Arial"/>
          <w:b w:val="0"/>
          <w:color w:val="1A2433"/>
          <w:sz w:val="22"/>
        </w:rPr>
        <w:t>Build a short markdown verdict from the class and confidence.</w:t>
      </w:r>
    </w:p>
    <w:p>
      <w:pPr>
        <w:pStyle w:val="ListNumber"/>
        <w:spacing w:before="80" w:after="80"/>
      </w:pPr>
      <w:r>
        <w:rPr>
          <w:rFonts w:ascii="Arial" w:hAnsi="Arial"/>
          <w:b w:val="0"/>
          <w:color w:val="1A2433"/>
          <w:sz w:val="22"/>
        </w:rPr>
        <w:t>Optionally generate the GradCAM heatmap for that prediction.</w:t>
      </w:r>
    </w:p>
    <w:tbl>
      <w:tblPr>
        <w:tblStyle w:val="TableGrid"/>
        <w:tblW w:type="auto" w:w="0"/>
        <w:tblLook w:firstColumn="1" w:firstRow="1" w:lastColumn="0" w:lastRow="0" w:noHBand="0" w:noVBand="1" w:val="04A0"/>
      </w:tblPr>
      <w:tblGrid>
        <w:gridCol w:w="9648"/>
      </w:tblGrid>
      <w:tr>
        <w:tc>
          <w:tcPr>
            <w:tcW w:type="dxa" w:w="9648"/>
            <w:shd w:val="clear" w:color="auto" w:fill="F1F5FB"/>
          </w:tcPr>
          <w:p>
            <w:pPr>
              <w:spacing w:before="80" w:after="80"/>
              <w:jc w:val="left"/>
            </w:pPr>
            <w:r>
              <w:rPr>
                <w:rFonts w:ascii="Consolas" w:hAnsi="Consolas"/>
                <w:color w:val="162033"/>
                <w:sz w:val="19"/>
              </w:rPr>
              <w:t>with torch.no_grad():</w:t>
              <w:br/>
            </w:r>
            <w:r>
              <w:rPr>
                <w:rFonts w:ascii="Consolas" w:hAnsi="Consolas"/>
                <w:color w:val="162033"/>
                <w:sz w:val="19"/>
              </w:rPr>
              <w:t xml:space="preserve">    logits = model(img_tensor)</w:t>
              <w:br/>
            </w:r>
            <w:r>
              <w:rPr>
                <w:rFonts w:ascii="Consolas" w:hAnsi="Consolas"/>
                <w:color w:val="162033"/>
                <w:sz w:val="19"/>
              </w:rPr>
              <w:t xml:space="preserve">    probs = torch.softmax(logits, dim=1).squeeze().cpu().tolist()</w:t>
              <w:br/>
            </w:r>
            <w:r>
              <w:rPr>
                <w:rFonts w:ascii="Consolas" w:hAnsi="Consolas"/>
                <w:color w:val="162033"/>
                <w:sz w:val="19"/>
              </w:rPr>
              <w:t>label_probs = {CLASSES[i]: round(probs[i], 4) for i in range(4)}</w:t>
              <w:br/>
            </w:r>
            <w:r>
              <w:rPr>
                <w:rFonts w:ascii="Consolas" w:hAnsi="Consolas"/>
                <w:color w:val="162033"/>
                <w:sz w:val="19"/>
              </w:rPr>
              <w:t>top_class = max(label_probs, key=label_probs.get)</w:t>
            </w:r>
          </w:p>
        </w:tc>
      </w:tr>
    </w:tbl>
    <w:p>
      <w:pPr>
        <w:spacing w:before="40" w:after="120"/>
      </w:pPr>
    </w:p>
    <w:p>
      <w:pPr>
        <w:spacing w:before="80" w:after="80"/>
      </w:pPr>
      <w:r>
        <w:rPr>
          <w:rFonts w:ascii="Arial" w:hAnsi="Arial"/>
          <w:b w:val="0"/>
          <w:color w:val="1A2433"/>
          <w:sz w:val="22"/>
        </w:rPr>
        <w:t>The function returns the per-class probabilities, the top class and its confidence, the markdown verdict, and the GradCAM image — everything the API needs to build a response.</w:t>
      </w:r>
    </w:p>
    <w:p>
      <w:pPr>
        <w:spacing w:before="320" w:after="80"/>
        <w:pBdr>
          <w:bottom w:val="single" w:sz="12" w:space="6" w:color="DCE6F2"/>
        </w:pBdr>
      </w:pPr>
      <w:r>
        <w:rPr>
          <w:rFonts w:ascii="Arial" w:hAnsi="Arial"/>
          <w:b/>
          <w:color w:val="0891A8"/>
          <w:sz w:val="40"/>
        </w:rPr>
        <w:t xml:space="preserve">11   </w:t>
      </w:r>
      <w:r>
        <w:rPr>
          <w:rFonts w:ascii="Arial" w:hAnsi="Arial"/>
          <w:b/>
          <w:color w:val="0B1422"/>
          <w:sz w:val="40"/>
        </w:rPr>
        <w:t>Explainability: GradCAM</w:t>
      </w:r>
    </w:p>
    <w:p>
      <w:pPr>
        <w:spacing w:before="80" w:after="120"/>
      </w:pPr>
      <w:r>
        <w:rPr>
          <w:rFonts w:ascii="Arial" w:hAnsi="Arial"/>
          <w:b w:val="0"/>
          <w:color w:val="5D6B80"/>
          <w:sz w:val="25"/>
        </w:rPr>
        <w:t>GradCAM answers “where did the model look?” by producing a heatmap over the MRI that highlights the regions most responsible for the prediction.</w:t>
      </w:r>
    </w:p>
    <w:p>
      <w:pPr>
        <w:spacing w:before="240" w:after="40"/>
      </w:pPr>
      <w:r>
        <w:rPr>
          <w:rFonts w:ascii="Arial" w:hAnsi="Arial"/>
          <w:b/>
          <w:color w:val="0B1422"/>
          <w:sz w:val="27"/>
        </w:rPr>
        <w:t>How it works (intuition)</w:t>
      </w:r>
    </w:p>
    <w:p>
      <w:pPr>
        <w:pStyle w:val="ListNumber"/>
        <w:spacing w:before="80" w:after="80"/>
      </w:pPr>
      <w:r>
        <w:rPr>
          <w:rFonts w:ascii="Arial" w:hAnsi="Arial"/>
          <w:b w:val="0"/>
          <w:color w:val="1A2433"/>
          <w:sz w:val="22"/>
        </w:rPr>
        <w:t>Take the activations of the last convolutional block (model.layer4[-1]).</w:t>
      </w:r>
    </w:p>
    <w:p>
      <w:pPr>
        <w:pStyle w:val="ListNumber"/>
        <w:spacing w:before="80" w:after="80"/>
      </w:pPr>
      <w:r>
        <w:rPr>
          <w:rFonts w:ascii="Arial" w:hAnsi="Arial"/>
          <w:b w:val="0"/>
          <w:color w:val="1A2433"/>
          <w:sz w:val="22"/>
        </w:rPr>
        <w:t>Compute the gradient of the predicted class score with respect to those activations.</w:t>
      </w:r>
    </w:p>
    <w:p>
      <w:pPr>
        <w:pStyle w:val="ListNumber"/>
        <w:spacing w:before="80" w:after="80"/>
      </w:pPr>
      <w:r>
        <w:rPr>
          <w:rFonts w:ascii="Arial" w:hAnsi="Arial"/>
          <w:b w:val="0"/>
          <w:color w:val="1A2433"/>
          <w:sz w:val="22"/>
        </w:rPr>
        <w:t>Use the gradients as weights: feature maps that strongly raise the score count more.</w:t>
      </w:r>
    </w:p>
    <w:p>
      <w:pPr>
        <w:pStyle w:val="ListNumber"/>
        <w:spacing w:before="80" w:after="80"/>
      </w:pPr>
      <w:r>
        <w:rPr>
          <w:rFonts w:ascii="Arial" w:hAnsi="Arial"/>
          <w:b w:val="0"/>
          <w:color w:val="1A2433"/>
          <w:sz w:val="22"/>
        </w:rPr>
        <w:t>Combine the weighted maps into a coarse heatmap and overlay it on the original scan.</w:t>
      </w:r>
    </w:p>
    <w:p>
      <w:pPr>
        <w:spacing w:before="80" w:after="80"/>
      </w:pPr>
      <w:r>
        <w:rPr>
          <w:rFonts w:ascii="Arial" w:hAnsi="Arial"/>
          <w:b w:val="0"/>
          <w:color w:val="1A2433"/>
          <w:sz w:val="22"/>
        </w:rPr>
        <w:t>The implementation enables aug_smooth (averaging over small augmentations) and eigen_smooth (keeping the dominant component) to suppress noise and produce a cleaner, more trustworthy map. Red areas are the most influential; cool areas matter least.</w:t>
      </w:r>
    </w:p>
    <w:tbl>
      <w:tblPr>
        <w:tblW w:type="auto" w:w="0"/>
        <w:tblLook w:firstColumn="1" w:firstRow="1" w:lastColumn="0" w:lastRow="0" w:noHBand="0" w:noVBand="1" w:val="04A0"/>
      </w:tblPr>
      <w:tblGrid>
        <w:gridCol w:w="9648"/>
      </w:tblGrid>
      <w:tr>
        <w:tc>
          <w:tcPr>
            <w:tcW w:type="dxa" w:w="9648"/>
            <w:shd w:val="clear" w:color="auto" w:fill="EAF6F0"/>
            <w:tcBorders>
              <w:start w:val="single" w:sz="24" w:space="0" w:color="0F8A55"/>
            </w:tcBorders>
          </w:tcPr>
          <w:p>
            <w:pPr>
              <w:spacing w:before="60" w:after="20"/>
            </w:pPr>
            <w:r>
              <w:rPr>
                <w:rFonts w:ascii="Arial" w:hAnsi="Arial"/>
                <w:b/>
                <w:color w:val="0B1422"/>
                <w:sz w:val="23"/>
              </w:rPr>
              <w:t>Good to know · Graceful fallback</w:t>
            </w:r>
          </w:p>
          <w:p>
            <w:pPr>
              <w:spacing w:before="20" w:after="60"/>
            </w:pPr>
            <w:r>
              <w:rPr>
                <w:rFonts w:ascii="Arial" w:hAnsi="Arial"/>
                <w:b w:val="0"/>
                <w:color w:val="1A2433"/>
                <w:sz w:val="22"/>
              </w:rPr>
              <w:t>If the grad-cam package is not installed, generate_gradcam simply returns the resized original image instead of crashing, and the UI shows a one-line setup hint. Explainability is optional, never a hard dependency.</w:t>
            </w:r>
          </w:p>
        </w:tc>
      </w:tr>
    </w:tbl>
    <w:p>
      <w:pPr>
        <w:spacing w:before="40" w:after="120"/>
      </w:pPr>
    </w:p>
    <w:tbl>
      <w:tblPr>
        <w:tblW w:type="auto" w:w="0"/>
        <w:tblLook w:firstColumn="1" w:firstRow="1" w:lastColumn="0" w:lastRow="0" w:noHBand="0" w:noVBand="1" w:val="04A0"/>
      </w:tblPr>
      <w:tblGrid>
        <w:gridCol w:w="9648"/>
      </w:tblGrid>
      <w:tr>
        <w:tc>
          <w:tcPr>
            <w:tcW w:type="dxa" w:w="9648"/>
            <w:shd w:val="clear" w:color="auto" w:fill="EAF7FA"/>
            <w:tcBorders>
              <w:start w:val="single" w:sz="24" w:space="0" w:color="0891A8"/>
            </w:tcBorders>
          </w:tcPr>
          <w:p>
            <w:pPr>
              <w:spacing w:before="60" w:after="20"/>
            </w:pPr>
            <w:r>
              <w:rPr>
                <w:rFonts w:ascii="Arial" w:hAnsi="Arial"/>
                <w:b/>
                <w:color w:val="0B1422"/>
                <w:sz w:val="23"/>
              </w:rPr>
              <w:t>Note · Why explainability matters here</w:t>
            </w:r>
          </w:p>
          <w:p>
            <w:pPr>
              <w:spacing w:before="20" w:after="60"/>
            </w:pPr>
            <w:r>
              <w:rPr>
                <w:rFonts w:ascii="Arial" w:hAnsi="Arial"/>
                <w:b w:val="0"/>
                <w:color w:val="1A2433"/>
                <w:sz w:val="22"/>
              </w:rPr>
              <w:t>In medical AI, a correct answer for the wrong reason is dangerous. A heatmap lets a human verify that the model focused on the lesion rather than on text, borders, or scanning artifacts — turning a black box into something a clinician can sanity-check.</w:t>
            </w:r>
          </w:p>
        </w:tc>
      </w:tr>
    </w:tbl>
    <w:p>
      <w:pPr>
        <w:spacing w:before="40" w:after="120"/>
      </w:pPr>
    </w:p>
    <w:p>
      <w:pPr>
        <w:spacing w:before="320" w:after="80"/>
        <w:pBdr>
          <w:bottom w:val="single" w:sz="12" w:space="6" w:color="DCE6F2"/>
        </w:pBdr>
      </w:pPr>
      <w:r>
        <w:rPr>
          <w:rFonts w:ascii="Arial" w:hAnsi="Arial"/>
          <w:b/>
          <w:color w:val="0891A8"/>
          <w:sz w:val="40"/>
        </w:rPr>
        <w:t xml:space="preserve">12   </w:t>
      </w:r>
      <w:r>
        <w:rPr>
          <w:rFonts w:ascii="Arial" w:hAnsi="Arial"/>
          <w:b/>
          <w:color w:val="0B1422"/>
          <w:sz w:val="40"/>
        </w:rPr>
        <w:t>The Local-LLM Clinical Report</w:t>
      </w:r>
    </w:p>
    <w:p>
      <w:pPr>
        <w:spacing w:before="80" w:after="120"/>
      </w:pPr>
      <w:r>
        <w:rPr>
          <w:rFonts w:ascii="Arial" w:hAnsi="Arial"/>
          <w:b w:val="0"/>
          <w:color w:val="5D6B80"/>
          <w:sz w:val="25"/>
        </w:rPr>
        <w:t>A local large-language model turns the raw prediction into a structured, human-readable report — with no cloud service and no API key.</w:t>
      </w:r>
    </w:p>
    <w:p>
      <w:pPr>
        <w:spacing w:before="80" w:after="80"/>
      </w:pPr>
      <w:r>
        <w:rPr>
          <w:rFonts w:ascii="Arial" w:hAnsi="Arial"/>
          <w:b w:val="0"/>
          <w:color w:val="1A2433"/>
          <w:sz w:val="22"/>
        </w:rPr>
        <w:t>The report is produced by Ollama, a tool that runs LLMs locally. The model is configurable via the OLLAMA_MODEL environment variable and defaults to qwen2.5:1.5b-instruct-q4_K_M — a small, quantized instruct model that runs even on modest hardware.</w:t>
      </w:r>
    </w:p>
    <w:p>
      <w:pPr>
        <w:spacing w:before="240" w:after="40"/>
      </w:pPr>
      <w:r>
        <w:rPr>
          <w:rFonts w:ascii="Arial" w:hAnsi="Arial"/>
          <w:b/>
          <w:color w:val="0B1422"/>
          <w:sz w:val="27"/>
        </w:rPr>
        <w:t>Prompt design</w:t>
      </w:r>
    </w:p>
    <w:p>
      <w:pPr>
        <w:spacing w:before="80" w:after="80"/>
      </w:pPr>
      <w:r>
        <w:rPr>
          <w:rFonts w:ascii="Arial" w:hAnsi="Arial"/>
          <w:b w:val="0"/>
          <w:color w:val="1A2433"/>
          <w:sz w:val="22"/>
        </w:rPr>
        <w:t>A system prompt sets the role (a careful, compassionate clinical assistant that always adds an educational disclaimer). A user prompt injects the prediction and probabilities and demands exactly five sections, 2–4 sentences each, under 230 words:</w:t>
      </w:r>
    </w:p>
    <w:p>
      <w:pPr>
        <w:pStyle w:val="ListBullet"/>
        <w:spacing w:before="80" w:after="80"/>
      </w:pPr>
      <w:r>
        <w:rPr>
          <w:rFonts w:ascii="Arial" w:hAnsi="Arial"/>
          <w:b w:val="0"/>
          <w:color w:val="1A2433"/>
          <w:sz w:val="22"/>
        </w:rPr>
        <w:t>Diagnosis Summary</w:t>
      </w:r>
    </w:p>
    <w:p>
      <w:pPr>
        <w:pStyle w:val="ListBullet"/>
        <w:spacing w:before="80" w:after="80"/>
      </w:pPr>
      <w:r>
        <w:rPr>
          <w:rFonts w:ascii="Arial" w:hAnsi="Arial"/>
          <w:b w:val="0"/>
          <w:color w:val="1A2433"/>
          <w:sz w:val="22"/>
        </w:rPr>
        <w:t>About &lt;the tumor type&gt;</w:t>
      </w:r>
    </w:p>
    <w:p>
      <w:pPr>
        <w:pStyle w:val="ListBullet"/>
        <w:spacing w:before="80" w:after="80"/>
      </w:pPr>
      <w:r>
        <w:rPr>
          <w:rFonts w:ascii="Arial" w:hAnsi="Arial"/>
          <w:b w:val="0"/>
          <w:color w:val="1A2433"/>
          <w:sz w:val="22"/>
        </w:rPr>
        <w:t>What the Heatmap Shows</w:t>
      </w:r>
    </w:p>
    <w:p>
      <w:pPr>
        <w:pStyle w:val="ListBullet"/>
        <w:spacing w:before="80" w:after="80"/>
      </w:pPr>
      <w:r>
        <w:rPr>
          <w:rFonts w:ascii="Arial" w:hAnsi="Arial"/>
          <w:b w:val="0"/>
          <w:color w:val="1A2433"/>
          <w:sz w:val="22"/>
        </w:rPr>
        <w:t>Recommended Next Steps</w:t>
      </w:r>
    </w:p>
    <w:p>
      <w:pPr>
        <w:pStyle w:val="ListBullet"/>
        <w:spacing w:before="80" w:after="80"/>
      </w:pPr>
      <w:r>
        <w:rPr>
          <w:rFonts w:ascii="Arial" w:hAnsi="Arial"/>
          <w:b w:val="0"/>
          <w:color w:val="1A2433"/>
          <w:sz w:val="22"/>
        </w:rPr>
        <w:t>Important Disclaimer</w:t>
      </w:r>
    </w:p>
    <w:p>
      <w:pPr>
        <w:spacing w:before="80" w:after="80"/>
      </w:pPr>
      <w:r>
        <w:rPr>
          <w:rFonts w:ascii="Arial" w:hAnsi="Arial"/>
          <w:b w:val="0"/>
          <w:color w:val="1A2433"/>
          <w:sz w:val="22"/>
        </w:rPr>
        <w:t>Generation uses temperature 0.3 (factual, low-variance text), a 2048-token context, and a capped output length. A helper strips any stray markdown code fence the model might add.</w:t>
      </w:r>
    </w:p>
    <w:tbl>
      <w:tblPr>
        <w:tblW w:type="auto" w:w="0"/>
        <w:tblLook w:firstColumn="1" w:firstRow="1" w:lastColumn="0" w:lastRow="0" w:noHBand="0" w:noVBand="1" w:val="04A0"/>
      </w:tblPr>
      <w:tblGrid>
        <w:gridCol w:w="9648"/>
      </w:tblGrid>
      <w:tr>
        <w:tc>
          <w:tcPr>
            <w:tcW w:type="dxa" w:w="9648"/>
            <w:shd w:val="clear" w:color="auto" w:fill="EAF7FA"/>
            <w:tcBorders>
              <w:start w:val="single" w:sz="24" w:space="0" w:color="0891A8"/>
            </w:tcBorders>
          </w:tcPr>
          <w:p>
            <w:pPr>
              <w:spacing w:before="60" w:after="20"/>
            </w:pPr>
            <w:r>
              <w:rPr>
                <w:rFonts w:ascii="Arial" w:hAnsi="Arial"/>
                <w:b/>
                <w:color w:val="0B1422"/>
                <w:sz w:val="23"/>
              </w:rPr>
              <w:t>Note · Why a local LLM?</w:t>
            </w:r>
          </w:p>
          <w:p>
            <w:pPr>
              <w:spacing w:before="20" w:after="60"/>
            </w:pPr>
            <w:r>
              <w:rPr>
                <w:rFonts w:ascii="Arial" w:hAnsi="Arial"/>
                <w:b w:val="0"/>
                <w:color w:val="1A2433"/>
                <w:sz w:val="22"/>
              </w:rPr>
              <w:t>Privacy — medical images and findings never leave the machine. Cost — no per-call API fees. Availability — it works fully offline. The trade-off is speed: on CPU a report can take 1–2 minutes; on a GPU about 15 seconds.</w:t>
            </w:r>
          </w:p>
        </w:tc>
      </w:tr>
    </w:tbl>
    <w:p>
      <w:pPr>
        <w:spacing w:before="40" w:after="120"/>
      </w:pPr>
    </w:p>
    <w:tbl>
      <w:tblPr>
        <w:tblW w:type="auto" w:w="0"/>
        <w:tblLook w:firstColumn="1" w:firstRow="1" w:lastColumn="0" w:lastRow="0" w:noHBand="0" w:noVBand="1" w:val="04A0"/>
      </w:tblPr>
      <w:tblGrid>
        <w:gridCol w:w="9648"/>
      </w:tblGrid>
      <w:tr>
        <w:tc>
          <w:tcPr>
            <w:tcW w:type="dxa" w:w="9648"/>
            <w:shd w:val="clear" w:color="auto" w:fill="EAF6F0"/>
            <w:tcBorders>
              <w:start w:val="single" w:sz="24" w:space="0" w:color="0F8A55"/>
            </w:tcBorders>
          </w:tcPr>
          <w:p>
            <w:pPr>
              <w:spacing w:before="60" w:after="20"/>
            </w:pPr>
            <w:r>
              <w:rPr>
                <w:rFonts w:ascii="Arial" w:hAnsi="Arial"/>
                <w:b/>
                <w:color w:val="0B1422"/>
                <w:sz w:val="23"/>
              </w:rPr>
              <w:t>Good to know · Degrades gracefully</w:t>
            </w:r>
          </w:p>
          <w:p>
            <w:pPr>
              <w:spacing w:before="20" w:after="60"/>
            </w:pPr>
            <w:r>
              <w:rPr>
                <w:rFonts w:ascii="Arial" w:hAnsi="Arial"/>
                <w:b w:val="0"/>
                <w:color w:val="1A2433"/>
                <w:sz w:val="22"/>
              </w:rPr>
              <w:t>If the Ollama client isn't installed, the server isn't running, or the model isn't pulled, the endpoint returns clear setup instructions instead of an error — and the rest of the app keeps working.</w:t>
            </w:r>
          </w:p>
        </w:tc>
      </w:tr>
    </w:tbl>
    <w:p>
      <w:pPr>
        <w:spacing w:before="40" w:after="120"/>
      </w:pPr>
    </w:p>
    <w:p>
      <w:pPr>
        <w:spacing w:before="320" w:after="80"/>
        <w:pBdr>
          <w:bottom w:val="single" w:sz="12" w:space="6" w:color="DCE6F2"/>
        </w:pBdr>
      </w:pPr>
      <w:r>
        <w:rPr>
          <w:rFonts w:ascii="Arial" w:hAnsi="Arial"/>
          <w:b/>
          <w:color w:val="0891A8"/>
          <w:sz w:val="40"/>
        </w:rPr>
        <w:t xml:space="preserve">13   </w:t>
      </w:r>
      <w:r>
        <w:rPr>
          <w:rFonts w:ascii="Arial" w:hAnsi="Arial"/>
          <w:b/>
          <w:color w:val="0B1422"/>
          <w:sz w:val="40"/>
        </w:rPr>
        <w:t>Backend: FastAPI</w:t>
      </w:r>
    </w:p>
    <w:p>
      <w:pPr>
        <w:spacing w:before="80" w:after="120"/>
      </w:pPr>
      <w:r>
        <w:rPr>
          <w:rFonts w:ascii="Arial" w:hAnsi="Arial"/>
          <w:b w:val="0"/>
          <w:color w:val="5D6B80"/>
          <w:sz w:val="25"/>
        </w:rPr>
        <w:t>A small, robust FastAPI service wraps the model core, validates uploads, serializes inference, and exposes four JSON endpoints.</w:t>
      </w:r>
    </w:p>
    <w:p>
      <w:pPr>
        <w:spacing w:before="240" w:after="40"/>
      </w:pPr>
      <w:r>
        <w:rPr>
          <w:rFonts w:ascii="Arial" w:hAnsi="Arial"/>
          <w:b/>
          <w:color w:val="0B1422"/>
          <w:sz w:val="27"/>
        </w:rPr>
        <w:t>Startup &amp; robustness</w:t>
      </w:r>
    </w:p>
    <w:p>
      <w:pPr>
        <w:pStyle w:val="ListBullet"/>
        <w:spacing w:before="80" w:after="80"/>
      </w:pPr>
      <w:r>
        <w:rPr>
          <w:rFonts w:ascii="Arial" w:hAnsi="Arial"/>
          <w:b w:val="0"/>
          <w:color w:val="1A2433"/>
          <w:sz w:val="22"/>
        </w:rPr>
        <w:t>A lifespan handler loads the model once, at startup, onto the chosen device (GPU or CPU).</w:t>
      </w:r>
    </w:p>
    <w:p>
      <w:pPr>
        <w:pStyle w:val="ListBullet"/>
        <w:spacing w:before="80" w:after="80"/>
      </w:pPr>
      <w:r>
        <w:rPr>
          <w:rFonts w:ascii="Arial" w:hAnsi="Arial"/>
          <w:b w:val="0"/>
          <w:color w:val="1A2433"/>
          <w:sz w:val="22"/>
        </w:rPr>
        <w:t>If loading fails, the API stays up and reports the error via /api/health — it does not crash.</w:t>
      </w:r>
    </w:p>
    <w:p>
      <w:pPr>
        <w:pStyle w:val="ListBullet"/>
        <w:spacing w:before="80" w:after="80"/>
      </w:pPr>
      <w:r>
        <w:rPr>
          <w:rFonts w:ascii="Arial" w:hAnsi="Arial"/>
          <w:b w:val="0"/>
          <w:color w:val="1A2433"/>
          <w:sz w:val="22"/>
        </w:rPr>
        <w:t>An INFERENCE_LOCK serializes model access because GradCAM registers hooks that are not thread-safe; requests run in a threadpool to keep the server responsive.</w:t>
      </w:r>
    </w:p>
    <w:p>
      <w:pPr>
        <w:pStyle w:val="ListBullet"/>
        <w:spacing w:before="80" w:after="80"/>
      </w:pPr>
      <w:r>
        <w:rPr>
          <w:rFonts w:ascii="Arial" w:hAnsi="Arial"/>
          <w:b w:val="0"/>
          <w:color w:val="1A2433"/>
          <w:sz w:val="22"/>
        </w:rPr>
        <w:t>CORS is restricted to the configured frontend origins.</w:t>
      </w:r>
    </w:p>
    <w:p>
      <w:pPr>
        <w:spacing w:before="240" w:after="40"/>
      </w:pPr>
      <w:r>
        <w:rPr>
          <w:rFonts w:ascii="Arial" w:hAnsi="Arial"/>
          <w:b/>
          <w:color w:val="0B1422"/>
          <w:sz w:val="27"/>
        </w:rPr>
        <w:t>The four endpoints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DCE6F2"/>
            <w:vAlign w:val="center"/>
          </w:tcPr>
          <w:p>
            <w:pPr>
              <w:spacing w:before="40" w:after="40"/>
            </w:pPr>
            <w:r>
              <w:rPr>
                <w:rFonts w:ascii="Arial" w:hAnsi="Arial"/>
                <w:b/>
                <w:color w:val="0B1422"/>
                <w:sz w:val="21"/>
              </w:rPr>
              <w:t>Endpoint</w:t>
            </w:r>
          </w:p>
        </w:tc>
        <w:tc>
          <w:tcPr>
            <w:tcW w:type="dxa" w:w="3216"/>
            <w:shd w:val="clear" w:color="auto" w:fill="DCE6F2"/>
            <w:vAlign w:val="center"/>
          </w:tcPr>
          <w:p>
            <w:pPr>
              <w:spacing w:before="40" w:after="40"/>
            </w:pPr>
            <w:r>
              <w:rPr>
                <w:rFonts w:ascii="Arial" w:hAnsi="Arial"/>
                <w:b/>
                <w:color w:val="0B1422"/>
                <w:sz w:val="21"/>
              </w:rPr>
              <w:t>Method</w:t>
            </w:r>
          </w:p>
        </w:tc>
        <w:tc>
          <w:tcPr>
            <w:tcW w:type="dxa" w:w="3216"/>
            <w:shd w:val="clear" w:color="auto" w:fill="DCE6F2"/>
            <w:vAlign w:val="center"/>
          </w:tcPr>
          <w:p>
            <w:pPr>
              <w:spacing w:before="40" w:after="40"/>
            </w:pPr>
            <w:r>
              <w:rPr>
                <w:rFonts w:ascii="Arial" w:hAnsi="Arial"/>
                <w:b/>
                <w:color w:val="0B1422"/>
                <w:sz w:val="21"/>
              </w:rPr>
              <w:t>Purpose</w:t>
            </w:r>
          </w:p>
        </w:tc>
      </w:tr>
      <w:tr>
        <w:tc>
          <w:tcPr>
            <w:tcW w:type="dxa" w:w="3216"/>
            <w:vAlign w:val="center"/>
          </w:tcPr>
          <w:p>
            <w:pPr>
              <w:spacing w:before="40" w:after="40"/>
            </w:pPr>
            <w:r>
              <w:rPr>
                <w:rFonts w:ascii="Arial" w:hAnsi="Arial"/>
                <w:b/>
                <w:color w:val="1A2433"/>
                <w:sz w:val="21"/>
              </w:rPr>
              <w:t>/api/health</w:t>
            </w:r>
          </w:p>
        </w:tc>
        <w:tc>
          <w:tcPr>
            <w:tcW w:type="dxa" w:w="3216"/>
            <w:vAlign w:val="center"/>
          </w:tcPr>
          <w:p>
            <w:pPr>
              <w:spacing w:before="40" w:after="40"/>
            </w:pPr>
            <w:r>
              <w:rPr>
                <w:rFonts w:ascii="Arial" w:hAnsi="Arial"/>
                <w:b w:val="0"/>
                <w:color w:val="1A2433"/>
                <w:sz w:val="21"/>
              </w:rPr>
              <w:t>GET</w:t>
            </w:r>
          </w:p>
        </w:tc>
        <w:tc>
          <w:tcPr>
            <w:tcW w:type="dxa" w:w="3216"/>
            <w:vAlign w:val="center"/>
          </w:tcPr>
          <w:p>
            <w:pPr>
              <w:spacing w:before="40" w:after="40"/>
            </w:pPr>
            <w:r>
              <w:rPr>
                <w:rFonts w:ascii="Arial" w:hAnsi="Arial"/>
                <w:b w:val="0"/>
                <w:color w:val="1A2433"/>
                <w:sz w:val="21"/>
              </w:rPr>
              <w:t>Liveness + capabilities (device, GradCAM, Ollama, class list).</w:t>
            </w:r>
          </w:p>
        </w:tc>
      </w:tr>
      <w:tr>
        <w:tc>
          <w:tcPr>
            <w:tcW w:type="dxa" w:w="3216"/>
            <w:vAlign w:val="center"/>
          </w:tcPr>
          <w:p>
            <w:pPr>
              <w:spacing w:before="40" w:after="40"/>
            </w:pPr>
            <w:r>
              <w:rPr>
                <w:rFonts w:ascii="Arial" w:hAnsi="Arial"/>
                <w:b/>
                <w:color w:val="1A2433"/>
                <w:sz w:val="21"/>
              </w:rPr>
              <w:t>/api/predict</w:t>
            </w:r>
          </w:p>
        </w:tc>
        <w:tc>
          <w:tcPr>
            <w:tcW w:type="dxa" w:w="3216"/>
            <w:vAlign w:val="center"/>
          </w:tcPr>
          <w:p>
            <w:pPr>
              <w:spacing w:before="40" w:after="40"/>
            </w:pPr>
            <w:r>
              <w:rPr>
                <w:rFonts w:ascii="Arial" w:hAnsi="Arial"/>
                <w:b w:val="0"/>
                <w:color w:val="1A2433"/>
                <w:sz w:val="21"/>
              </w:rPr>
              <w:t>POST</w:t>
            </w:r>
          </w:p>
        </w:tc>
        <w:tc>
          <w:tcPr>
            <w:tcW w:type="dxa" w:w="3216"/>
            <w:vAlign w:val="center"/>
          </w:tcPr>
          <w:p>
            <w:pPr>
              <w:spacing w:before="40" w:after="40"/>
            </w:pPr>
            <w:r>
              <w:rPr>
                <w:rFonts w:ascii="Arial" w:hAnsi="Arial"/>
                <w:b w:val="0"/>
                <w:color w:val="1A2433"/>
                <w:sz w:val="21"/>
              </w:rPr>
              <w:t>Multipart image → top class, all probabilities, verdict, base64 GradCAM.</w:t>
            </w:r>
          </w:p>
        </w:tc>
      </w:tr>
      <w:tr>
        <w:tc>
          <w:tcPr>
            <w:tcW w:type="dxa" w:w="3216"/>
            <w:vAlign w:val="center"/>
          </w:tcPr>
          <w:p>
            <w:pPr>
              <w:spacing w:before="40" w:after="40"/>
            </w:pPr>
            <w:r>
              <w:rPr>
                <w:rFonts w:ascii="Arial" w:hAnsi="Arial"/>
                <w:b/>
                <w:color w:val="1A2433"/>
                <w:sz w:val="21"/>
              </w:rPr>
              <w:t>/api/report</w:t>
            </w:r>
          </w:p>
        </w:tc>
        <w:tc>
          <w:tcPr>
            <w:tcW w:type="dxa" w:w="3216"/>
            <w:vAlign w:val="center"/>
          </w:tcPr>
          <w:p>
            <w:pPr>
              <w:spacing w:before="40" w:after="40"/>
            </w:pPr>
            <w:r>
              <w:rPr>
                <w:rFonts w:ascii="Arial" w:hAnsi="Arial"/>
                <w:b w:val="0"/>
                <w:color w:val="1A2433"/>
                <w:sz w:val="21"/>
              </w:rPr>
              <w:t>POST</w:t>
            </w:r>
          </w:p>
        </w:tc>
        <w:tc>
          <w:tcPr>
            <w:tcW w:type="dxa" w:w="3216"/>
            <w:vAlign w:val="center"/>
          </w:tcPr>
          <w:p>
            <w:pPr>
              <w:spacing w:before="40" w:after="40"/>
            </w:pPr>
            <w:r>
              <w:rPr>
                <w:rFonts w:ascii="Arial" w:hAnsi="Arial"/>
                <w:b w:val="0"/>
                <w:color w:val="1A2433"/>
                <w:sz w:val="21"/>
              </w:rPr>
              <w:t>Class + scores → a markdown clinical report.</w:t>
            </w:r>
          </w:p>
        </w:tc>
      </w:tr>
      <w:tr>
        <w:tc>
          <w:tcPr>
            <w:tcW w:type="dxa" w:w="3216"/>
            <w:vAlign w:val="center"/>
          </w:tcPr>
          <w:p>
            <w:pPr>
              <w:spacing w:before="40" w:after="40"/>
            </w:pPr>
            <w:r>
              <w:rPr>
                <w:rFonts w:ascii="Arial" w:hAnsi="Arial"/>
                <w:b/>
                <w:color w:val="1A2433"/>
                <w:sz w:val="21"/>
              </w:rPr>
              <w:t>/api/metrics</w:t>
            </w:r>
          </w:p>
        </w:tc>
        <w:tc>
          <w:tcPr>
            <w:tcW w:type="dxa" w:w="3216"/>
            <w:vAlign w:val="center"/>
          </w:tcPr>
          <w:p>
            <w:pPr>
              <w:spacing w:before="40" w:after="40"/>
            </w:pPr>
            <w:r>
              <w:rPr>
                <w:rFonts w:ascii="Arial" w:hAnsi="Arial"/>
                <w:b w:val="0"/>
                <w:color w:val="1A2433"/>
                <w:sz w:val="21"/>
              </w:rPr>
              <w:t>GET</w:t>
            </w:r>
          </w:p>
        </w:tc>
        <w:tc>
          <w:tcPr>
            <w:tcW w:type="dxa" w:w="3216"/>
            <w:vAlign w:val="center"/>
          </w:tcPr>
          <w:p>
            <w:pPr>
              <w:spacing w:before="40" w:after="40"/>
            </w:pPr>
            <w:r>
              <w:rPr>
                <w:rFonts w:ascii="Arial" w:hAnsi="Arial"/>
                <w:b w:val="0"/>
                <w:color w:val="1A2433"/>
                <w:sz w:val="21"/>
              </w:rPr>
              <w:t>Parsed training history + the accuracy caveat.</w:t>
            </w:r>
          </w:p>
        </w:tc>
      </w:tr>
    </w:tbl>
    <w:p>
      <w:pPr>
        <w:spacing w:before="40" w:after="120"/>
      </w:pPr>
    </w:p>
    <w:p>
      <w:pPr>
        <w:spacing w:before="240" w:after="40"/>
      </w:pPr>
      <w:r>
        <w:rPr>
          <w:rFonts w:ascii="Arial" w:hAnsi="Arial"/>
          <w:b/>
          <w:color w:val="0B1422"/>
          <w:sz w:val="27"/>
        </w:rPr>
        <w:t>Upload validation</w:t>
      </w:r>
    </w:p>
    <w:p>
      <w:pPr>
        <w:spacing w:before="80" w:after="80"/>
      </w:pPr>
      <w:r>
        <w:rPr>
          <w:rFonts w:ascii="Arial" w:hAnsi="Arial"/>
          <w:b w:val="0"/>
          <w:color w:val="1A2433"/>
          <w:sz w:val="22"/>
        </w:rPr>
        <w:t>Before any inference, uploads are validated: the file must be non-empty, at most 15 MB, and a PNG/JPEG/WEBP/BMP image that actually decodes. Failures return precise HTTP codes (413 too large, 415 unsupported type, 422 empty/undecodable) in a uniform error envelope. The GradCAM output is encoded as a base64 PNG data URL so the browser can show it directly.</w:t>
      </w:r>
    </w:p>
    <w:p>
      <w:pPr>
        <w:spacing w:before="80" w:after="80"/>
      </w:pPr>
      <w:r>
        <w:rPr>
          <w:rFonts w:ascii="Arial" w:hAnsi="Arial"/>
          <w:b w:val="0"/>
          <w:color w:val="1A2433"/>
          <w:sz w:val="22"/>
        </w:rPr>
        <w:t>Request and response shapes are defined with Pydantic models (HealthResponse, PredictResponse, ReportRequest, MetricsResponse …), which validate types automatically and document the API.</w:t>
      </w:r>
    </w:p>
    <w:p>
      <w:pPr>
        <w:spacing w:before="320" w:after="80"/>
        <w:pBdr>
          <w:bottom w:val="single" w:sz="12" w:space="6" w:color="DCE6F2"/>
        </w:pBdr>
      </w:pPr>
      <w:r>
        <w:rPr>
          <w:rFonts w:ascii="Arial" w:hAnsi="Arial"/>
          <w:b/>
          <w:color w:val="0891A8"/>
          <w:sz w:val="40"/>
        </w:rPr>
        <w:t xml:space="preserve">14   </w:t>
      </w:r>
      <w:r>
        <w:rPr>
          <w:rFonts w:ascii="Arial" w:hAnsi="Arial"/>
          <w:b/>
          <w:color w:val="0B1422"/>
          <w:sz w:val="40"/>
        </w:rPr>
        <w:t>Frontend: the Next.js Web App</w:t>
      </w:r>
    </w:p>
    <w:p>
      <w:pPr>
        <w:spacing w:before="80" w:after="120"/>
      </w:pPr>
      <w:r>
        <w:rPr>
          <w:rFonts w:ascii="Arial" w:hAnsi="Arial"/>
          <w:b w:val="0"/>
          <w:color w:val="5D6B80"/>
          <w:sz w:val="25"/>
        </w:rPr>
        <w:t>A modern, polished single-page experience built with Next.js 16, React 19, TypeScript and Tailwind v4, with a clinical dark/light theme.</w:t>
      </w:r>
    </w:p>
    <w:p>
      <w:pPr>
        <w:spacing w:before="240" w:after="40"/>
      </w:pPr>
      <w:r>
        <w:rPr>
          <w:rFonts w:ascii="Arial" w:hAnsi="Arial"/>
          <w:b/>
          <w:color w:val="0B1422"/>
          <w:sz w:val="27"/>
        </w:rPr>
        <w:t>Pages &amp; flow</w:t>
      </w:r>
    </w:p>
    <w:p>
      <w:pPr>
        <w:pStyle w:val="ListBullet"/>
        <w:spacing w:before="80" w:after="80"/>
      </w:pPr>
      <w:r>
        <w:rPr>
          <w:rFonts w:ascii="Arial" w:hAnsi="Arial"/>
          <w:b w:val="0"/>
          <w:color w:val="1A2433"/>
          <w:sz w:val="22"/>
        </w:rPr>
        <w:t>/ — a landing page introducing the pipeline and the four classes.</w:t>
      </w:r>
    </w:p>
    <w:p>
      <w:pPr>
        <w:pStyle w:val="ListBullet"/>
        <w:spacing w:before="80" w:after="80"/>
      </w:pPr>
      <w:r>
        <w:rPr>
          <w:rFonts w:ascii="Arial" w:hAnsi="Arial"/>
          <w:b w:val="0"/>
          <w:color w:val="1A2433"/>
          <w:sz w:val="22"/>
        </w:rPr>
        <w:t>/analyze — the workspace: upload, prediction, GradCAM viewer, and the report panel.</w:t>
      </w:r>
    </w:p>
    <w:p>
      <w:pPr>
        <w:pStyle w:val="ListBullet"/>
        <w:spacing w:before="80" w:after="80"/>
      </w:pPr>
      <w:r>
        <w:rPr>
          <w:rFonts w:ascii="Arial" w:hAnsi="Arial"/>
          <w:b w:val="0"/>
          <w:color w:val="1A2433"/>
          <w:sz w:val="22"/>
        </w:rPr>
        <w:t>/metrics — training history with hand-drawn SVG charts and the accuracy caveat.</w:t>
      </w:r>
    </w:p>
    <w:p>
      <w:pPr>
        <w:pStyle w:val="ListBullet"/>
        <w:spacing w:before="80" w:after="80"/>
      </w:pPr>
      <w:r>
        <w:rPr>
          <w:rFonts w:ascii="Arial" w:hAnsi="Arial"/>
          <w:b w:val="0"/>
          <w:color w:val="1A2433"/>
          <w:sz w:val="22"/>
        </w:rPr>
        <w:t>/about — how it works and an honest list of limitations.</w:t>
      </w:r>
    </w:p>
    <w:p>
      <w:pPr>
        <w:spacing w:before="240" w:after="40"/>
      </w:pPr>
      <w:r>
        <w:rPr>
          <w:rFonts w:ascii="Arial" w:hAnsi="Arial"/>
          <w:b/>
          <w:color w:val="0B1422"/>
          <w:sz w:val="27"/>
        </w:rPr>
        <w:t>The API seam</w:t>
      </w:r>
    </w:p>
    <w:p>
      <w:pPr>
        <w:spacing w:before="80" w:after="80"/>
      </w:pPr>
      <w:r>
        <w:rPr>
          <w:rFonts w:ascii="Arial" w:hAnsi="Arial"/>
          <w:b w:val="0"/>
          <w:color w:val="1A2433"/>
          <w:sz w:val="22"/>
        </w:rPr>
        <w:t>All network calls go through lib/api.ts, a single seam that converts the backend's snake_case JSON into the frontend's camelCase TypeScript types (and back). It calls the FastAPI backend directly rather than through Next.js's proxy, because the proxy's ~30-second timeout would cut off a slow CPU-generated report; the backend base URL is set via NEXT_PUBLIC_API_BASE.</w:t>
      </w:r>
    </w:p>
    <w:p>
      <w:pPr>
        <w:spacing w:before="240" w:after="40"/>
      </w:pPr>
      <w:r>
        <w:rPr>
          <w:rFonts w:ascii="Arial" w:hAnsi="Arial"/>
          <w:b/>
          <w:color w:val="0B1422"/>
          <w:sz w:val="27"/>
        </w:rPr>
        <w:t>Design system</w:t>
      </w:r>
    </w:p>
    <w:p>
      <w:pPr>
        <w:spacing w:before="80" w:after="80"/>
      </w:pPr>
      <w:r>
        <w:rPr>
          <w:rFonts w:ascii="Arial" w:hAnsi="Arial"/>
          <w:b w:val="0"/>
          <w:color w:val="1A2433"/>
          <w:sz w:val="22"/>
        </w:rPr>
        <w:t>Tailwind v4's CSS-first approach defines the whole palette as CSS variables, with an instant dark/light switch. The dark “reading-room” theme uses a near-black background with cyan and violet accents; charts on the metrics page are drawn by hand in SVG (no charting library) for a lighter bundle and full control. Subtle motion and a radiological grid texture complete the look.</w:t>
      </w:r>
    </w:p>
    <w:p>
      <w:pPr>
        <w:spacing w:before="320" w:after="80"/>
        <w:pBdr>
          <w:bottom w:val="single" w:sz="12" w:space="6" w:color="DCE6F2"/>
        </w:pBdr>
      </w:pPr>
      <w:r>
        <w:rPr>
          <w:rFonts w:ascii="Arial" w:hAnsi="Arial"/>
          <w:b/>
          <w:color w:val="0891A8"/>
          <w:sz w:val="40"/>
        </w:rPr>
        <w:t xml:space="preserve">15   </w:t>
      </w:r>
      <w:r>
        <w:rPr>
          <w:rFonts w:ascii="Arial" w:hAnsi="Arial"/>
          <w:b/>
          <w:color w:val="0B1422"/>
          <w:sz w:val="40"/>
        </w:rPr>
        <w:t>Deployment: Docker + nginx</w:t>
      </w:r>
    </w:p>
    <w:p>
      <w:pPr>
        <w:spacing w:before="80" w:after="120"/>
      </w:pPr>
      <w:r>
        <w:rPr>
          <w:rFonts w:ascii="Arial" w:hAnsi="Arial"/>
          <w:b w:val="0"/>
          <w:color w:val="5D6B80"/>
          <w:sz w:val="25"/>
        </w:rPr>
        <w:t>The whole stack is containerized with Docker Compose and published behind an nginx reverse proxy on a VPS.</w:t>
      </w:r>
    </w:p>
    <w:p>
      <w:pPr>
        <w:spacing w:before="240" w:after="40"/>
      </w:pPr>
      <w:r>
        <w:rPr>
          <w:rFonts w:ascii="Arial" w:hAnsi="Arial"/>
          <w:b/>
          <w:color w:val="0B1422"/>
          <w:sz w:val="27"/>
        </w:rPr>
        <w:t>Three services</w:t>
      </w:r>
    </w:p>
    <w:p>
      <w:pPr>
        <w:pStyle w:val="ListBullet"/>
        <w:spacing w:before="80" w:after="80"/>
      </w:pPr>
      <w:r>
        <w:rPr>
          <w:rFonts w:ascii="Arial" w:hAnsi="Arial"/>
          <w:b w:val="0"/>
          <w:color w:val="1A2433"/>
          <w:sz w:val="22"/>
        </w:rPr>
        <w:t>backend — the FastAPI container, pinned to CPU PyTorch 2.6.0 to match the saved weights.</w:t>
      </w:r>
    </w:p>
    <w:p>
      <w:pPr>
        <w:pStyle w:val="ListBullet"/>
        <w:spacing w:before="80" w:after="80"/>
      </w:pPr>
      <w:r>
        <w:rPr>
          <w:rFonts w:ascii="Arial" w:hAnsi="Arial"/>
          <w:b w:val="0"/>
          <w:color w:val="1A2433"/>
          <w:sz w:val="22"/>
        </w:rPr>
        <w:t>frontend — the Next.js production server.</w:t>
      </w:r>
    </w:p>
    <w:p>
      <w:pPr>
        <w:pStyle w:val="ListBullet"/>
        <w:spacing w:before="80" w:after="80"/>
      </w:pPr>
      <w:r>
        <w:rPr>
          <w:rFonts w:ascii="Arial" w:hAnsi="Arial"/>
          <w:b w:val="0"/>
          <w:color w:val="1A2433"/>
          <w:sz w:val="22"/>
        </w:rPr>
        <w:t>ollama — a local LLM service, internal-only, never exposed to the public.</w:t>
      </w:r>
    </w:p>
    <w:p>
      <w:pPr>
        <w:spacing w:before="80" w:after="80"/>
      </w:pPr>
      <w:r>
        <w:rPr>
          <w:rFonts w:ascii="Arial" w:hAnsi="Arial"/>
          <w:b w:val="0"/>
          <w:color w:val="1A2433"/>
          <w:sz w:val="22"/>
        </w:rPr>
        <w:t>The application services bind only to localhost; a host nginx virtual host on port 8086 is the single public entry point. nginx routes /api requests to the backend and everything else to the frontend, so the browser sees one origin.</w:t>
      </w:r>
    </w:p>
    <w:p>
      <w:pPr>
        <w:spacing w:before="240" w:after="40"/>
      </w:pPr>
      <w:r>
        <w:rPr>
          <w:rFonts w:ascii="Arial" w:hAnsi="Arial"/>
          <w:b/>
          <w:color w:val="0B1422"/>
          <w:sz w:val="27"/>
        </w:rPr>
        <w:t>Tuned for a shared box</w:t>
      </w:r>
    </w:p>
    <w:p>
      <w:pPr>
        <w:pStyle w:val="ListBullet"/>
        <w:spacing w:before="80" w:after="80"/>
      </w:pPr>
      <w:r>
        <w:rPr>
          <w:rFonts w:ascii="Arial" w:hAnsi="Arial"/>
          <w:b w:val="0"/>
          <w:color w:val="1A2433"/>
          <w:sz w:val="22"/>
        </w:rPr>
        <w:t>PyTorch limited to 2 CPU threads (OMP_NUM_THREADS=2).</w:t>
      </w:r>
    </w:p>
    <w:p>
      <w:pPr>
        <w:pStyle w:val="ListBullet"/>
        <w:spacing w:before="80" w:after="80"/>
      </w:pPr>
      <w:r>
        <w:rPr>
          <w:rFonts w:ascii="Arial" w:hAnsi="Arial"/>
          <w:b w:val="0"/>
          <w:color w:val="1A2433"/>
          <w:sz w:val="22"/>
        </w:rPr>
        <w:t>Ollama unloads the model after 2 minutes idle and loads at most one model at a time.</w:t>
      </w:r>
    </w:p>
    <w:p>
      <w:pPr>
        <w:pStyle w:val="ListBullet"/>
        <w:spacing w:before="80" w:after="80"/>
      </w:pPr>
      <w:r>
        <w:rPr>
          <w:rFonts w:ascii="Arial" w:hAnsi="Arial"/>
          <w:b w:val="0"/>
          <w:color w:val="1A2433"/>
          <w:sz w:val="22"/>
        </w:rPr>
        <w:t>Health checks and restart policies keep the containers alive.</w:t>
      </w:r>
    </w:p>
    <w:p>
      <w:pPr>
        <w:spacing w:before="320" w:after="80"/>
        <w:pBdr>
          <w:bottom w:val="single" w:sz="12" w:space="6" w:color="DCE6F2"/>
        </w:pBdr>
      </w:pPr>
      <w:r>
        <w:rPr>
          <w:rFonts w:ascii="Arial" w:hAnsi="Arial"/>
          <w:b/>
          <w:color w:val="0891A8"/>
          <w:sz w:val="40"/>
        </w:rPr>
        <w:t xml:space="preserve">16   </w:t>
      </w:r>
      <w:r>
        <w:rPr>
          <w:rFonts w:ascii="Arial" w:hAnsi="Arial"/>
          <w:b/>
          <w:color w:val="0B1422"/>
          <w:sz w:val="40"/>
        </w:rPr>
        <w:t>The Full Tech Stack</w:t>
      </w:r>
    </w:p>
    <w:p>
      <w:pPr>
        <w:spacing w:before="80" w:after="120"/>
      </w:pPr>
      <w:r>
        <w:rPr>
          <w:rFonts w:ascii="Arial" w:hAnsi="Arial"/>
          <w:b w:val="0"/>
          <w:color w:val="5D6B80"/>
          <w:sz w:val="25"/>
        </w:rPr>
        <w:t>Every major technology used, and what it is responsible for.</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DCE6F2"/>
            <w:vAlign w:val="center"/>
          </w:tcPr>
          <w:p>
            <w:pPr>
              <w:spacing w:before="40" w:after="40"/>
            </w:pPr>
            <w:r>
              <w:rPr>
                <w:rFonts w:ascii="Arial" w:hAnsi="Arial"/>
                <w:b/>
                <w:color w:val="0B1422"/>
                <w:sz w:val="21"/>
              </w:rPr>
              <w:t>Layer</w:t>
            </w:r>
          </w:p>
        </w:tc>
        <w:tc>
          <w:tcPr>
            <w:tcW w:type="dxa" w:w="3216"/>
            <w:shd w:val="clear" w:color="auto" w:fill="DCE6F2"/>
            <w:vAlign w:val="center"/>
          </w:tcPr>
          <w:p>
            <w:pPr>
              <w:spacing w:before="40" w:after="40"/>
            </w:pPr>
            <w:r>
              <w:rPr>
                <w:rFonts w:ascii="Arial" w:hAnsi="Arial"/>
                <w:b/>
                <w:color w:val="0B1422"/>
                <w:sz w:val="21"/>
              </w:rPr>
              <w:t>Technology</w:t>
            </w:r>
          </w:p>
        </w:tc>
        <w:tc>
          <w:tcPr>
            <w:tcW w:type="dxa" w:w="3216"/>
            <w:shd w:val="clear" w:color="auto" w:fill="DCE6F2"/>
            <w:vAlign w:val="center"/>
          </w:tcPr>
          <w:p>
            <w:pPr>
              <w:spacing w:before="40" w:after="40"/>
            </w:pPr>
            <w:r>
              <w:rPr>
                <w:rFonts w:ascii="Arial" w:hAnsi="Arial"/>
                <w:b/>
                <w:color w:val="0B1422"/>
                <w:sz w:val="21"/>
              </w:rPr>
              <w:t>Role</w:t>
            </w:r>
          </w:p>
        </w:tc>
      </w:tr>
      <w:tr>
        <w:tc>
          <w:tcPr>
            <w:tcW w:type="dxa" w:w="3216"/>
            <w:vAlign w:val="center"/>
          </w:tcPr>
          <w:p>
            <w:pPr>
              <w:spacing w:before="40" w:after="40"/>
            </w:pPr>
            <w:r>
              <w:rPr>
                <w:rFonts w:ascii="Arial" w:hAnsi="Arial"/>
                <w:b/>
                <w:color w:val="1A2433"/>
                <w:sz w:val="21"/>
              </w:rPr>
              <w:t>Language</w:t>
            </w:r>
          </w:p>
        </w:tc>
        <w:tc>
          <w:tcPr>
            <w:tcW w:type="dxa" w:w="3216"/>
            <w:vAlign w:val="center"/>
          </w:tcPr>
          <w:p>
            <w:pPr>
              <w:spacing w:before="40" w:after="40"/>
            </w:pPr>
            <w:r>
              <w:rPr>
                <w:rFonts w:ascii="Arial" w:hAnsi="Arial"/>
                <w:b w:val="0"/>
                <w:color w:val="1A2433"/>
                <w:sz w:val="21"/>
              </w:rPr>
              <w:t>Python 3.12 · TypeScript</w:t>
            </w:r>
          </w:p>
        </w:tc>
        <w:tc>
          <w:tcPr>
            <w:tcW w:type="dxa" w:w="3216"/>
            <w:vAlign w:val="center"/>
          </w:tcPr>
          <w:p>
            <w:pPr>
              <w:spacing w:before="40" w:after="40"/>
            </w:pPr>
            <w:r>
              <w:rPr>
                <w:rFonts w:ascii="Arial" w:hAnsi="Arial"/>
                <w:b w:val="0"/>
                <w:color w:val="1A2433"/>
                <w:sz w:val="21"/>
              </w:rPr>
              <w:t>Backend/ML in Python; frontend in TypeScript.</w:t>
            </w:r>
          </w:p>
        </w:tc>
      </w:tr>
      <w:tr>
        <w:tc>
          <w:tcPr>
            <w:tcW w:type="dxa" w:w="3216"/>
            <w:vAlign w:val="center"/>
          </w:tcPr>
          <w:p>
            <w:pPr>
              <w:spacing w:before="40" w:after="40"/>
            </w:pPr>
            <w:r>
              <w:rPr>
                <w:rFonts w:ascii="Arial" w:hAnsi="Arial"/>
                <w:b/>
                <w:color w:val="1A2433"/>
                <w:sz w:val="21"/>
              </w:rPr>
              <w:t>Model</w:t>
            </w:r>
          </w:p>
        </w:tc>
        <w:tc>
          <w:tcPr>
            <w:tcW w:type="dxa" w:w="3216"/>
            <w:vAlign w:val="center"/>
          </w:tcPr>
          <w:p>
            <w:pPr>
              <w:spacing w:before="40" w:after="40"/>
            </w:pPr>
            <w:r>
              <w:rPr>
                <w:rFonts w:ascii="Arial" w:hAnsi="Arial"/>
                <w:b w:val="0"/>
                <w:color w:val="1A2433"/>
                <w:sz w:val="21"/>
              </w:rPr>
              <w:t>PyTorch · torchvision</w:t>
            </w:r>
          </w:p>
        </w:tc>
        <w:tc>
          <w:tcPr>
            <w:tcW w:type="dxa" w:w="3216"/>
            <w:vAlign w:val="center"/>
          </w:tcPr>
          <w:p>
            <w:pPr>
              <w:spacing w:before="40" w:after="40"/>
            </w:pPr>
            <w:r>
              <w:rPr>
                <w:rFonts w:ascii="Arial" w:hAnsi="Arial"/>
                <w:b w:val="0"/>
                <w:color w:val="1A2433"/>
                <w:sz w:val="21"/>
              </w:rPr>
              <w:t>ResNet50 definition, training and inference.</w:t>
            </w:r>
          </w:p>
        </w:tc>
      </w:tr>
      <w:tr>
        <w:tc>
          <w:tcPr>
            <w:tcW w:type="dxa" w:w="3216"/>
            <w:vAlign w:val="center"/>
          </w:tcPr>
          <w:p>
            <w:pPr>
              <w:spacing w:before="40" w:after="40"/>
            </w:pPr>
            <w:r>
              <w:rPr>
                <w:rFonts w:ascii="Arial" w:hAnsi="Arial"/>
                <w:b/>
                <w:color w:val="1A2433"/>
                <w:sz w:val="21"/>
              </w:rPr>
              <w:t>Explainability</w:t>
            </w:r>
          </w:p>
        </w:tc>
        <w:tc>
          <w:tcPr>
            <w:tcW w:type="dxa" w:w="3216"/>
            <w:vAlign w:val="center"/>
          </w:tcPr>
          <w:p>
            <w:pPr>
              <w:spacing w:before="40" w:after="40"/>
            </w:pPr>
            <w:r>
              <w:rPr>
                <w:rFonts w:ascii="Arial" w:hAnsi="Arial"/>
                <w:b w:val="0"/>
                <w:color w:val="1A2433"/>
                <w:sz w:val="21"/>
              </w:rPr>
              <w:t>pytorch-grad-cam</w:t>
            </w:r>
          </w:p>
        </w:tc>
        <w:tc>
          <w:tcPr>
            <w:tcW w:type="dxa" w:w="3216"/>
            <w:vAlign w:val="center"/>
          </w:tcPr>
          <w:p>
            <w:pPr>
              <w:spacing w:before="40" w:after="40"/>
            </w:pPr>
            <w:r>
              <w:rPr>
                <w:rFonts w:ascii="Arial" w:hAnsi="Arial"/>
                <w:b w:val="0"/>
                <w:color w:val="1A2433"/>
                <w:sz w:val="21"/>
              </w:rPr>
              <w:t>GradCAM heatmaps.</w:t>
            </w:r>
          </w:p>
        </w:tc>
      </w:tr>
      <w:tr>
        <w:tc>
          <w:tcPr>
            <w:tcW w:type="dxa" w:w="3216"/>
            <w:vAlign w:val="center"/>
          </w:tcPr>
          <w:p>
            <w:pPr>
              <w:spacing w:before="40" w:after="40"/>
            </w:pPr>
            <w:r>
              <w:rPr>
                <w:rFonts w:ascii="Arial" w:hAnsi="Arial"/>
                <w:b/>
                <w:color w:val="1A2433"/>
                <w:sz w:val="21"/>
              </w:rPr>
              <w:t>Report LLM</w:t>
            </w:r>
          </w:p>
        </w:tc>
        <w:tc>
          <w:tcPr>
            <w:tcW w:type="dxa" w:w="3216"/>
            <w:vAlign w:val="center"/>
          </w:tcPr>
          <w:p>
            <w:pPr>
              <w:spacing w:before="40" w:after="40"/>
            </w:pPr>
            <w:r>
              <w:rPr>
                <w:rFonts w:ascii="Arial" w:hAnsi="Arial"/>
                <w:b w:val="0"/>
                <w:color w:val="1A2433"/>
                <w:sz w:val="21"/>
              </w:rPr>
              <w:t>Ollama</w:t>
            </w:r>
          </w:p>
        </w:tc>
        <w:tc>
          <w:tcPr>
            <w:tcW w:type="dxa" w:w="3216"/>
            <w:vAlign w:val="center"/>
          </w:tcPr>
          <w:p>
            <w:pPr>
              <w:spacing w:before="40" w:after="40"/>
            </w:pPr>
            <w:r>
              <w:rPr>
                <w:rFonts w:ascii="Arial" w:hAnsi="Arial"/>
                <w:b w:val="0"/>
                <w:color w:val="1A2433"/>
                <w:sz w:val="21"/>
              </w:rPr>
              <w:t>Runs a local LLM for the clinical report.</w:t>
            </w:r>
          </w:p>
        </w:tc>
      </w:tr>
      <w:tr>
        <w:tc>
          <w:tcPr>
            <w:tcW w:type="dxa" w:w="3216"/>
            <w:vAlign w:val="center"/>
          </w:tcPr>
          <w:p>
            <w:pPr>
              <w:spacing w:before="40" w:after="40"/>
            </w:pPr>
            <w:r>
              <w:rPr>
                <w:rFonts w:ascii="Arial" w:hAnsi="Arial"/>
                <w:b/>
                <w:color w:val="1A2433"/>
                <w:sz w:val="21"/>
              </w:rPr>
              <w:t>Backend</w:t>
            </w:r>
          </w:p>
        </w:tc>
        <w:tc>
          <w:tcPr>
            <w:tcW w:type="dxa" w:w="3216"/>
            <w:vAlign w:val="center"/>
          </w:tcPr>
          <w:p>
            <w:pPr>
              <w:spacing w:before="40" w:after="40"/>
            </w:pPr>
            <w:r>
              <w:rPr>
                <w:rFonts w:ascii="Arial" w:hAnsi="Arial"/>
                <w:b w:val="0"/>
                <w:color w:val="1A2433"/>
                <w:sz w:val="21"/>
              </w:rPr>
              <w:t>FastAPI · uvicorn · Pydantic</w:t>
            </w:r>
          </w:p>
        </w:tc>
        <w:tc>
          <w:tcPr>
            <w:tcW w:type="dxa" w:w="3216"/>
            <w:vAlign w:val="center"/>
          </w:tcPr>
          <w:p>
            <w:pPr>
              <w:spacing w:before="40" w:after="40"/>
            </w:pPr>
            <w:r>
              <w:rPr>
                <w:rFonts w:ascii="Arial" w:hAnsi="Arial"/>
                <w:b w:val="0"/>
                <w:color w:val="1A2433"/>
                <w:sz w:val="21"/>
              </w:rPr>
              <w:t>HTTP API, async server, schema validation.</w:t>
            </w:r>
          </w:p>
        </w:tc>
      </w:tr>
      <w:tr>
        <w:tc>
          <w:tcPr>
            <w:tcW w:type="dxa" w:w="3216"/>
            <w:vAlign w:val="center"/>
          </w:tcPr>
          <w:p>
            <w:pPr>
              <w:spacing w:before="40" w:after="40"/>
            </w:pPr>
            <w:r>
              <w:rPr>
                <w:rFonts w:ascii="Arial" w:hAnsi="Arial"/>
                <w:b/>
                <w:color w:val="1A2433"/>
                <w:sz w:val="21"/>
              </w:rPr>
              <w:t>Frontend</w:t>
            </w:r>
          </w:p>
        </w:tc>
        <w:tc>
          <w:tcPr>
            <w:tcW w:type="dxa" w:w="3216"/>
            <w:vAlign w:val="center"/>
          </w:tcPr>
          <w:p>
            <w:pPr>
              <w:spacing w:before="40" w:after="40"/>
            </w:pPr>
            <w:r>
              <w:rPr>
                <w:rFonts w:ascii="Arial" w:hAnsi="Arial"/>
                <w:b w:val="0"/>
                <w:color w:val="1A2433"/>
                <w:sz w:val="21"/>
              </w:rPr>
              <w:t>Next.js 16 · React 19 · Tailwind v4</w:t>
            </w:r>
          </w:p>
        </w:tc>
        <w:tc>
          <w:tcPr>
            <w:tcW w:type="dxa" w:w="3216"/>
            <w:vAlign w:val="center"/>
          </w:tcPr>
          <w:p>
            <w:pPr>
              <w:spacing w:before="40" w:after="40"/>
            </w:pPr>
            <w:r>
              <w:rPr>
                <w:rFonts w:ascii="Arial" w:hAnsi="Arial"/>
                <w:b w:val="0"/>
                <w:color w:val="1A2433"/>
                <w:sz w:val="21"/>
              </w:rPr>
              <w:t>The web UI, routing and styling.</w:t>
            </w:r>
          </w:p>
        </w:tc>
      </w:tr>
      <w:tr>
        <w:tc>
          <w:tcPr>
            <w:tcW w:type="dxa" w:w="3216"/>
            <w:vAlign w:val="center"/>
          </w:tcPr>
          <w:p>
            <w:pPr>
              <w:spacing w:before="40" w:after="40"/>
            </w:pPr>
            <w:r>
              <w:rPr>
                <w:rFonts w:ascii="Arial" w:hAnsi="Arial"/>
                <w:b/>
                <w:color w:val="1A2433"/>
                <w:sz w:val="21"/>
              </w:rPr>
              <w:t>Packaging</w:t>
            </w:r>
          </w:p>
        </w:tc>
        <w:tc>
          <w:tcPr>
            <w:tcW w:type="dxa" w:w="3216"/>
            <w:vAlign w:val="center"/>
          </w:tcPr>
          <w:p>
            <w:pPr>
              <w:spacing w:before="40" w:after="40"/>
            </w:pPr>
            <w:r>
              <w:rPr>
                <w:rFonts w:ascii="Arial" w:hAnsi="Arial"/>
                <w:b w:val="0"/>
                <w:color w:val="1A2433"/>
                <w:sz w:val="21"/>
              </w:rPr>
              <w:t>Docker Compose · nginx</w:t>
            </w:r>
          </w:p>
        </w:tc>
        <w:tc>
          <w:tcPr>
            <w:tcW w:type="dxa" w:w="3216"/>
            <w:vAlign w:val="center"/>
          </w:tcPr>
          <w:p>
            <w:pPr>
              <w:spacing w:before="40" w:after="40"/>
            </w:pPr>
            <w:r>
              <w:rPr>
                <w:rFonts w:ascii="Arial" w:hAnsi="Arial"/>
                <w:b w:val="0"/>
                <w:color w:val="1A2433"/>
                <w:sz w:val="21"/>
              </w:rPr>
              <w:t>Containerization and reverse proxy.</w:t>
            </w:r>
          </w:p>
        </w:tc>
      </w:tr>
    </w:tbl>
    <w:p>
      <w:pPr>
        <w:spacing w:before="40" w:after="120"/>
      </w:pPr>
    </w:p>
    <w:p>
      <w:pPr>
        <w:spacing w:before="320" w:after="80"/>
        <w:pBdr>
          <w:bottom w:val="single" w:sz="12" w:space="6" w:color="DCE6F2"/>
        </w:pBdr>
      </w:pPr>
      <w:r>
        <w:rPr>
          <w:rFonts w:ascii="Arial" w:hAnsi="Arial"/>
          <w:b/>
          <w:color w:val="0891A8"/>
          <w:sz w:val="40"/>
        </w:rPr>
        <w:t xml:space="preserve">17   </w:t>
      </w:r>
      <w:r>
        <w:rPr>
          <w:rFonts w:ascii="Arial" w:hAnsi="Arial"/>
          <w:b/>
          <w:color w:val="0B1422"/>
          <w:sz w:val="40"/>
        </w:rPr>
        <w:t>How to Run It Yourself</w:t>
      </w:r>
    </w:p>
    <w:p>
      <w:pPr>
        <w:spacing w:before="80" w:after="120"/>
      </w:pPr>
      <w:r>
        <w:rPr>
          <w:rFonts w:ascii="Arial" w:hAnsi="Arial"/>
          <w:b w:val="0"/>
          <w:color w:val="5D6B80"/>
          <w:sz w:val="25"/>
        </w:rPr>
        <w:t>The exact commands to start the backend, the frontend, and the optional local LLM.</w:t>
      </w:r>
    </w:p>
    <w:p>
      <w:pPr>
        <w:spacing w:before="240" w:after="40"/>
      </w:pPr>
      <w:r>
        <w:rPr>
          <w:rFonts w:ascii="Arial" w:hAnsi="Arial"/>
          <w:b/>
          <w:color w:val="0B1422"/>
          <w:sz w:val="27"/>
        </w:rPr>
        <w:t>Backend (from the repo root)</w:t>
      </w:r>
    </w:p>
    <w:tbl>
      <w:tblPr>
        <w:tblStyle w:val="TableGrid"/>
        <w:tblW w:type="auto" w:w="0"/>
        <w:tblLook w:firstColumn="1" w:firstRow="1" w:lastColumn="0" w:lastRow="0" w:noHBand="0" w:noVBand="1" w:val="04A0"/>
      </w:tblPr>
      <w:tblGrid>
        <w:gridCol w:w="9648"/>
      </w:tblGrid>
      <w:tr>
        <w:tc>
          <w:tcPr>
            <w:tcW w:type="dxa" w:w="9648"/>
            <w:shd w:val="clear" w:color="auto" w:fill="F1F5FB"/>
          </w:tcPr>
          <w:p>
            <w:pPr>
              <w:spacing w:before="80" w:after="80"/>
              <w:jc w:val="left"/>
            </w:pPr>
            <w:r>
              <w:rPr>
                <w:rFonts w:ascii="Consolas" w:hAnsi="Consolas"/>
                <w:color w:val="162033"/>
                <w:sz w:val="19"/>
              </w:rPr>
              <w:t>source venv/bin/activate</w:t>
              <w:br/>
            </w:r>
            <w:r>
              <w:rPr>
                <w:rFonts w:ascii="Consolas" w:hAnsi="Consolas"/>
                <w:color w:val="162033"/>
                <w:sz w:val="19"/>
              </w:rPr>
              <w:t>pip install -r backend/requirements.txt</w:t>
              <w:br/>
            </w:r>
            <w:r>
              <w:rPr>
                <w:rFonts w:ascii="Consolas" w:hAnsi="Consolas"/>
                <w:color w:val="162033"/>
                <w:sz w:val="19"/>
              </w:rPr>
              <w:t>uvicorn backend.main:app --port 8000 --reload</w:t>
            </w:r>
          </w:p>
        </w:tc>
      </w:tr>
    </w:tbl>
    <w:p>
      <w:pPr>
        <w:spacing w:before="40" w:after="120"/>
      </w:pPr>
    </w:p>
    <w:p>
      <w:pPr>
        <w:spacing w:before="240" w:after="40"/>
      </w:pPr>
      <w:r>
        <w:rPr>
          <w:rFonts w:ascii="Arial" w:hAnsi="Arial"/>
          <w:b/>
          <w:color w:val="0B1422"/>
          <w:sz w:val="27"/>
        </w:rPr>
        <w:t>Frontend</w:t>
      </w:r>
    </w:p>
    <w:tbl>
      <w:tblPr>
        <w:tblStyle w:val="TableGrid"/>
        <w:tblW w:type="auto" w:w="0"/>
        <w:tblLook w:firstColumn="1" w:firstRow="1" w:lastColumn="0" w:lastRow="0" w:noHBand="0" w:noVBand="1" w:val="04A0"/>
      </w:tblPr>
      <w:tblGrid>
        <w:gridCol w:w="9648"/>
      </w:tblGrid>
      <w:tr>
        <w:tc>
          <w:tcPr>
            <w:tcW w:type="dxa" w:w="9648"/>
            <w:shd w:val="clear" w:color="auto" w:fill="F1F5FB"/>
          </w:tcPr>
          <w:p>
            <w:pPr>
              <w:spacing w:before="80" w:after="80"/>
              <w:jc w:val="left"/>
            </w:pPr>
            <w:r>
              <w:rPr>
                <w:rFonts w:ascii="Consolas" w:hAnsi="Consolas"/>
                <w:color w:val="162033"/>
                <w:sz w:val="19"/>
              </w:rPr>
              <w:t>cd frontend &amp;&amp; npm install &amp;&amp; npm run dev   # http://localhost:3000</w:t>
            </w:r>
          </w:p>
        </w:tc>
      </w:tr>
    </w:tbl>
    <w:p>
      <w:pPr>
        <w:spacing w:before="40" w:after="120"/>
      </w:pPr>
    </w:p>
    <w:p>
      <w:pPr>
        <w:spacing w:before="240" w:after="40"/>
      </w:pPr>
      <w:r>
        <w:rPr>
          <w:rFonts w:ascii="Arial" w:hAnsi="Arial"/>
          <w:b/>
          <w:color w:val="0B1422"/>
          <w:sz w:val="27"/>
        </w:rPr>
        <w:t>Optional local LLM report</w:t>
      </w:r>
    </w:p>
    <w:tbl>
      <w:tblPr>
        <w:tblStyle w:val="TableGrid"/>
        <w:tblW w:type="auto" w:w="0"/>
        <w:tblLook w:firstColumn="1" w:firstRow="1" w:lastColumn="0" w:lastRow="0" w:noHBand="0" w:noVBand="1" w:val="04A0"/>
      </w:tblPr>
      <w:tblGrid>
        <w:gridCol w:w="9648"/>
      </w:tblGrid>
      <w:tr>
        <w:tc>
          <w:tcPr>
            <w:tcW w:type="dxa" w:w="9648"/>
            <w:shd w:val="clear" w:color="auto" w:fill="F1F5FB"/>
          </w:tcPr>
          <w:p>
            <w:pPr>
              <w:spacing w:before="80" w:after="80"/>
              <w:jc w:val="left"/>
            </w:pPr>
            <w:r>
              <w:rPr>
                <w:rFonts w:ascii="Consolas" w:hAnsi="Consolas"/>
                <w:color w:val="162033"/>
                <w:sz w:val="19"/>
              </w:rPr>
              <w:t>ollama serve</w:t>
              <w:br/>
            </w:r>
            <w:r>
              <w:rPr>
                <w:rFonts w:ascii="Consolas" w:hAnsi="Consolas"/>
                <w:color w:val="162033"/>
                <w:sz w:val="19"/>
              </w:rPr>
              <w:t>ollama pull qwen2.5:1.5b-instruct-q4_K_M</w:t>
            </w:r>
          </w:p>
        </w:tc>
      </w:tr>
    </w:tbl>
    <w:p>
      <w:pPr>
        <w:spacing w:before="40" w:after="120"/>
      </w:pPr>
    </w:p>
    <w:p>
      <w:pPr>
        <w:spacing w:before="80" w:after="80"/>
      </w:pPr>
      <w:r>
        <w:rPr>
          <w:rFonts w:ascii="Arial" w:hAnsi="Arial"/>
          <w:b w:val="0"/>
          <w:color w:val="1A2433"/>
          <w:sz w:val="22"/>
        </w:rPr>
        <w:t>A legacy Gradio UI is also available with `python app.py` (port 7860), and the model can be retrained with `python train.py --train_dir ... --test_dir ...`.</w:t>
      </w:r>
    </w:p>
    <w:p>
      <w:pPr>
        <w:spacing w:before="320" w:after="80"/>
        <w:pBdr>
          <w:bottom w:val="single" w:sz="12" w:space="6" w:color="DCE6F2"/>
        </w:pBdr>
      </w:pPr>
      <w:r>
        <w:rPr>
          <w:rFonts w:ascii="Arial" w:hAnsi="Arial"/>
          <w:b/>
          <w:color w:val="0891A8"/>
          <w:sz w:val="40"/>
        </w:rPr>
        <w:t xml:space="preserve">18   </w:t>
      </w:r>
      <w:r>
        <w:rPr>
          <w:rFonts w:ascii="Arial" w:hAnsi="Arial"/>
          <w:b/>
          <w:color w:val="0B1422"/>
          <w:sz w:val="40"/>
        </w:rPr>
        <w:t>Anticipated Questions &amp; Answers</w:t>
      </w:r>
    </w:p>
    <w:p>
      <w:pPr>
        <w:spacing w:before="80" w:after="120"/>
      </w:pPr>
      <w:r>
        <w:rPr>
          <w:rFonts w:ascii="Arial" w:hAnsi="Arial"/>
          <w:b w:val="0"/>
          <w:color w:val="5D6B80"/>
          <w:sz w:val="25"/>
        </w:rPr>
        <w:t>The questions a panel is most likely to ask — with crisp, defensible answers.</w:t>
      </w:r>
    </w:p>
    <w:tbl>
      <w:tblPr>
        <w:tblStyle w:val="TableGrid"/>
        <w:tblW w:type="auto" w:w="0"/>
        <w:tblLook w:firstColumn="1" w:firstRow="1" w:lastColumn="0" w:lastRow="0" w:noHBand="0" w:noVBand="1" w:val="04A0"/>
      </w:tblPr>
      <w:tblGrid>
        <w:gridCol w:w="4824"/>
        <w:gridCol w:w="4824"/>
      </w:tblGrid>
      <w:tr>
        <w:tc>
          <w:tcPr>
            <w:tcW w:type="dxa" w:w="4824"/>
            <w:shd w:val="clear" w:color="auto" w:fill="EEF3FA"/>
            <w:vAlign w:val="center"/>
          </w:tcPr>
          <w:p>
            <w:pPr>
              <w:spacing w:before="40" w:after="40"/>
            </w:pPr>
            <w:r>
              <w:rPr>
                <w:rFonts w:ascii="Arial" w:hAnsi="Arial"/>
                <w:b/>
                <w:color w:val="0B1422"/>
                <w:sz w:val="21"/>
              </w:rPr>
              <w:t>Is the 99% accuracy real?</w:t>
            </w:r>
          </w:p>
        </w:tc>
        <w:tc>
          <w:tcPr>
            <w:tcW w:type="dxa" w:w="4824"/>
            <w:vAlign w:val="center"/>
          </w:tcPr>
          <w:p>
            <w:pPr>
              <w:spacing w:before="40" w:after="40"/>
            </w:pPr>
            <w:r>
              <w:rPr>
                <w:rFonts w:ascii="Arial" w:hAnsi="Arial"/>
                <w:b w:val="0"/>
                <w:color w:val="1A2433"/>
                <w:sz w:val="21"/>
              </w:rPr>
              <w:t>It is a “claimed” figure. Because the test set was reused for validation (data leakage), the number is optimistic. A proper train/validation/test split or cross-validation is needed for an unbiased estimate.</w:t>
            </w:r>
          </w:p>
        </w:tc>
      </w:tr>
      <w:tr>
        <w:tc>
          <w:tcPr>
            <w:tcW w:type="dxa" w:w="4824"/>
            <w:shd w:val="clear" w:color="auto" w:fill="EEF3FA"/>
            <w:vAlign w:val="center"/>
          </w:tcPr>
          <w:p>
            <w:pPr>
              <w:spacing w:before="40" w:after="40"/>
            </w:pPr>
            <w:r>
              <w:rPr>
                <w:rFonts w:ascii="Arial" w:hAnsi="Arial"/>
                <w:b/>
                <w:color w:val="0B1422"/>
                <w:sz w:val="21"/>
              </w:rPr>
              <w:t>Why ResNet50 and not a Vision Transformer?</w:t>
            </w:r>
          </w:p>
        </w:tc>
        <w:tc>
          <w:tcPr>
            <w:tcW w:type="dxa" w:w="4824"/>
            <w:vAlign w:val="center"/>
          </w:tcPr>
          <w:p>
            <w:pPr>
              <w:spacing w:before="40" w:after="40"/>
            </w:pPr>
            <w:r>
              <w:rPr>
                <w:rFonts w:ascii="Arial" w:hAnsi="Arial"/>
                <w:b w:val="0"/>
                <w:color w:val="1A2433"/>
                <w:sz w:val="21"/>
              </w:rPr>
              <w:t>CNNs like ResNet50 are extremely data-efficient and easy to fine-tune on small medical datasets, whereas ViTs typically need far more data. ResNet50 is a proven, well-understood baseline.</w:t>
            </w:r>
          </w:p>
        </w:tc>
      </w:tr>
      <w:tr>
        <w:tc>
          <w:tcPr>
            <w:tcW w:type="dxa" w:w="4824"/>
            <w:shd w:val="clear" w:color="auto" w:fill="EEF3FA"/>
            <w:vAlign w:val="center"/>
          </w:tcPr>
          <w:p>
            <w:pPr>
              <w:spacing w:before="40" w:after="40"/>
            </w:pPr>
            <w:r>
              <w:rPr>
                <w:rFonts w:ascii="Arial" w:hAnsi="Arial"/>
                <w:b/>
                <w:color w:val="0B1422"/>
                <w:sz w:val="21"/>
              </w:rPr>
              <w:t>How do you fight overfitting?</w:t>
            </w:r>
          </w:p>
        </w:tc>
        <w:tc>
          <w:tcPr>
            <w:tcW w:type="dxa" w:w="4824"/>
            <w:vAlign w:val="center"/>
          </w:tcPr>
          <w:p>
            <w:pPr>
              <w:spacing w:before="40" w:after="40"/>
            </w:pPr>
            <w:r>
              <w:rPr>
                <w:rFonts w:ascii="Arial" w:hAnsi="Arial"/>
                <w:b w:val="0"/>
                <w:color w:val="1A2433"/>
                <w:sz w:val="21"/>
              </w:rPr>
              <w:t>Four ways: dropout in the head, L2 weight decay, label smoothing, and heavy data augmentation. The tiny train/validation gap supports that it generalized within this dataset.</w:t>
            </w:r>
          </w:p>
        </w:tc>
      </w:tr>
      <w:tr>
        <w:tc>
          <w:tcPr>
            <w:tcW w:type="dxa" w:w="4824"/>
            <w:shd w:val="clear" w:color="auto" w:fill="EEF3FA"/>
            <w:vAlign w:val="center"/>
          </w:tcPr>
          <w:p>
            <w:pPr>
              <w:spacing w:before="40" w:after="40"/>
            </w:pPr>
            <w:r>
              <w:rPr>
                <w:rFonts w:ascii="Arial" w:hAnsi="Arial"/>
                <w:b/>
                <w:color w:val="0B1422"/>
                <w:sz w:val="21"/>
              </w:rPr>
              <w:t>Why a local LLM instead of an API?</w:t>
            </w:r>
          </w:p>
        </w:tc>
        <w:tc>
          <w:tcPr>
            <w:tcW w:type="dxa" w:w="4824"/>
            <w:vAlign w:val="center"/>
          </w:tcPr>
          <w:p>
            <w:pPr>
              <w:spacing w:before="40" w:after="40"/>
            </w:pPr>
            <w:r>
              <w:rPr>
                <w:rFonts w:ascii="Arial" w:hAnsi="Arial"/>
                <w:b w:val="0"/>
                <w:color w:val="1A2433"/>
                <w:sz w:val="21"/>
              </w:rPr>
              <w:t>Privacy of medical data, zero per-call cost, and full offline operation. The cost is speed on CPU-only machines.</w:t>
            </w:r>
          </w:p>
        </w:tc>
      </w:tr>
      <w:tr>
        <w:tc>
          <w:tcPr>
            <w:tcW w:type="dxa" w:w="4824"/>
            <w:shd w:val="clear" w:color="auto" w:fill="EEF3FA"/>
            <w:vAlign w:val="center"/>
          </w:tcPr>
          <w:p>
            <w:pPr>
              <w:spacing w:before="40" w:after="40"/>
            </w:pPr>
            <w:r>
              <w:rPr>
                <w:rFonts w:ascii="Arial" w:hAnsi="Arial"/>
                <w:b/>
                <w:color w:val="0B1422"/>
                <w:sz w:val="21"/>
              </w:rPr>
              <w:t>How does GradCAM actually work?</w:t>
            </w:r>
          </w:p>
        </w:tc>
        <w:tc>
          <w:tcPr>
            <w:tcW w:type="dxa" w:w="4824"/>
            <w:vAlign w:val="center"/>
          </w:tcPr>
          <w:p>
            <w:pPr>
              <w:spacing w:before="40" w:after="40"/>
            </w:pPr>
            <w:r>
              <w:rPr>
                <w:rFonts w:ascii="Arial" w:hAnsi="Arial"/>
                <w:b w:val="0"/>
                <w:color w:val="1A2433"/>
                <w:sz w:val="21"/>
              </w:rPr>
              <w:t>It weights the activations of the last convolutional layer by the gradient of the predicted class, producing a heatmap of the most influential regions.</w:t>
            </w:r>
          </w:p>
        </w:tc>
      </w:tr>
      <w:tr>
        <w:tc>
          <w:tcPr>
            <w:tcW w:type="dxa" w:w="4824"/>
            <w:shd w:val="clear" w:color="auto" w:fill="EEF3FA"/>
            <w:vAlign w:val="center"/>
          </w:tcPr>
          <w:p>
            <w:pPr>
              <w:spacing w:before="40" w:after="40"/>
            </w:pPr>
            <w:r>
              <w:rPr>
                <w:rFonts w:ascii="Arial" w:hAnsi="Arial"/>
                <w:b/>
                <w:color w:val="0B1422"/>
                <w:sz w:val="21"/>
              </w:rPr>
              <w:t>Could this be used in a hospital?</w:t>
            </w:r>
          </w:p>
        </w:tc>
        <w:tc>
          <w:tcPr>
            <w:tcW w:type="dxa" w:w="4824"/>
            <w:vAlign w:val="center"/>
          </w:tcPr>
          <w:p>
            <w:pPr>
              <w:spacing w:before="40" w:after="40"/>
            </w:pPr>
            <w:r>
              <w:rPr>
                <w:rFonts w:ascii="Arial" w:hAnsi="Arial"/>
                <w:b w:val="0"/>
                <w:color w:val="1A2433"/>
                <w:sz w:val="21"/>
              </w:rPr>
              <w:t>No. It is an educational/research prototype with no clinical validation and known data issues; it is explicitly not a medical device.</w:t>
            </w:r>
          </w:p>
        </w:tc>
      </w:tr>
      <w:tr>
        <w:tc>
          <w:tcPr>
            <w:tcW w:type="dxa" w:w="4824"/>
            <w:shd w:val="clear" w:color="auto" w:fill="EEF3FA"/>
            <w:vAlign w:val="center"/>
          </w:tcPr>
          <w:p>
            <w:pPr>
              <w:spacing w:before="40" w:after="40"/>
            </w:pPr>
            <w:r>
              <w:rPr>
                <w:rFonts w:ascii="Arial" w:hAnsi="Arial"/>
                <w:b/>
                <w:color w:val="0B1422"/>
                <w:sz w:val="21"/>
              </w:rPr>
              <w:t>Why two front-ends?</w:t>
            </w:r>
          </w:p>
        </w:tc>
        <w:tc>
          <w:tcPr>
            <w:tcW w:type="dxa" w:w="4824"/>
            <w:vAlign w:val="center"/>
          </w:tcPr>
          <w:p>
            <w:pPr>
              <w:spacing w:before="40" w:after="40"/>
            </w:pPr>
            <w:r>
              <w:rPr>
                <w:rFonts w:ascii="Arial" w:hAnsi="Arial"/>
                <w:b w:val="0"/>
                <w:color w:val="1A2433"/>
                <w:sz w:val="21"/>
              </w:rPr>
              <w:t>Gradio gave a fast prototype UI; the Next.js + FastAPI app is the polished, production-style product. Both reuse the same inference_core, so behavior is consistent.</w:t>
            </w:r>
          </w:p>
        </w:tc>
      </w:tr>
    </w:tbl>
    <w:p>
      <w:pPr>
        <w:spacing w:before="40" w:after="120"/>
      </w:pPr>
    </w:p>
    <w:p>
      <w:pPr>
        <w:spacing w:before="320" w:after="80"/>
        <w:pBdr>
          <w:bottom w:val="single" w:sz="12" w:space="6" w:color="DCE6F2"/>
        </w:pBdr>
      </w:pPr>
      <w:r>
        <w:rPr>
          <w:rFonts w:ascii="Arial" w:hAnsi="Arial"/>
          <w:b/>
          <w:color w:val="0891A8"/>
          <w:sz w:val="40"/>
        </w:rPr>
        <w:t xml:space="preserve">19   </w:t>
      </w:r>
      <w:r>
        <w:rPr>
          <w:rFonts w:ascii="Arial" w:hAnsi="Arial"/>
          <w:b/>
          <w:color w:val="0B1422"/>
          <w:sz w:val="40"/>
        </w:rPr>
        <w:t>Glossary of Key Terms</w:t>
      </w:r>
    </w:p>
    <w:p>
      <w:pPr>
        <w:spacing w:before="80" w:after="120"/>
      </w:pPr>
      <w:r>
        <w:rPr>
          <w:rFonts w:ascii="Arial" w:hAnsi="Arial"/>
          <w:b w:val="0"/>
          <w:color w:val="5D6B80"/>
          <w:sz w:val="25"/>
        </w:rPr>
        <w:t>Plain-language definitions for the technical vocabulary used above.</w:t>
      </w:r>
    </w:p>
    <w:tbl>
      <w:tblPr>
        <w:tblStyle w:val="TableGrid"/>
        <w:tblW w:type="auto" w:w="0"/>
        <w:tblLook w:firstColumn="1" w:firstRow="1" w:lastColumn="0" w:lastRow="0" w:noHBand="0" w:noVBand="1" w:val="04A0"/>
      </w:tblPr>
      <w:tblGrid>
        <w:gridCol w:w="4824"/>
        <w:gridCol w:w="4824"/>
      </w:tblGrid>
      <w:tr>
        <w:tc>
          <w:tcPr>
            <w:tcW w:type="dxa" w:w="4824"/>
            <w:shd w:val="clear" w:color="auto" w:fill="EEF3FA"/>
            <w:vAlign w:val="center"/>
          </w:tcPr>
          <w:p>
            <w:pPr>
              <w:spacing w:before="40" w:after="40"/>
            </w:pPr>
            <w:r>
              <w:rPr>
                <w:rFonts w:ascii="Arial" w:hAnsi="Arial"/>
                <w:b/>
                <w:color w:val="0B1422"/>
                <w:sz w:val="21"/>
              </w:rPr>
              <w:t>CNN</w:t>
            </w:r>
          </w:p>
        </w:tc>
        <w:tc>
          <w:tcPr>
            <w:tcW w:type="dxa" w:w="4824"/>
            <w:vAlign w:val="center"/>
          </w:tcPr>
          <w:p>
            <w:pPr>
              <w:spacing w:before="40" w:after="40"/>
            </w:pPr>
            <w:r>
              <w:rPr>
                <w:rFonts w:ascii="Arial" w:hAnsi="Arial"/>
                <w:b w:val="0"/>
                <w:color w:val="1A2433"/>
                <w:sz w:val="21"/>
              </w:rPr>
              <w:t>A neural network that learns visual patterns through layers of small filters.</w:t>
            </w:r>
          </w:p>
        </w:tc>
      </w:tr>
      <w:tr>
        <w:tc>
          <w:tcPr>
            <w:tcW w:type="dxa" w:w="4824"/>
            <w:shd w:val="clear" w:color="auto" w:fill="EEF3FA"/>
            <w:vAlign w:val="center"/>
          </w:tcPr>
          <w:p>
            <w:pPr>
              <w:spacing w:before="40" w:after="40"/>
            </w:pPr>
            <w:r>
              <w:rPr>
                <w:rFonts w:ascii="Arial" w:hAnsi="Arial"/>
                <w:b/>
                <w:color w:val="0B1422"/>
                <w:sz w:val="21"/>
              </w:rPr>
              <w:t>Transfer learning</w:t>
            </w:r>
          </w:p>
        </w:tc>
        <w:tc>
          <w:tcPr>
            <w:tcW w:type="dxa" w:w="4824"/>
            <w:vAlign w:val="center"/>
          </w:tcPr>
          <w:p>
            <w:pPr>
              <w:spacing w:before="40" w:after="40"/>
            </w:pPr>
            <w:r>
              <w:rPr>
                <w:rFonts w:ascii="Arial" w:hAnsi="Arial"/>
                <w:b w:val="0"/>
                <w:color w:val="1A2433"/>
                <w:sz w:val="21"/>
              </w:rPr>
              <w:t>Reusing a model pretrained on a large dataset and adapting it to a new, smaller task.</w:t>
            </w:r>
          </w:p>
        </w:tc>
      </w:tr>
      <w:tr>
        <w:tc>
          <w:tcPr>
            <w:tcW w:type="dxa" w:w="4824"/>
            <w:shd w:val="clear" w:color="auto" w:fill="EEF3FA"/>
            <w:vAlign w:val="center"/>
          </w:tcPr>
          <w:p>
            <w:pPr>
              <w:spacing w:before="40" w:after="40"/>
            </w:pPr>
            <w:r>
              <w:rPr>
                <w:rFonts w:ascii="Arial" w:hAnsi="Arial"/>
                <w:b/>
                <w:color w:val="0B1422"/>
                <w:sz w:val="21"/>
              </w:rPr>
              <w:t>Residual connection</w:t>
            </w:r>
          </w:p>
        </w:tc>
        <w:tc>
          <w:tcPr>
            <w:tcW w:type="dxa" w:w="4824"/>
            <w:vAlign w:val="center"/>
          </w:tcPr>
          <w:p>
            <w:pPr>
              <w:spacing w:before="40" w:after="40"/>
            </w:pPr>
            <w:r>
              <w:rPr>
                <w:rFonts w:ascii="Arial" w:hAnsi="Arial"/>
                <w:b w:val="0"/>
                <w:color w:val="1A2433"/>
                <w:sz w:val="21"/>
              </w:rPr>
              <w:t>A “shortcut” that adds a layer's input to its output, enabling very deep networks.</w:t>
            </w:r>
          </w:p>
        </w:tc>
      </w:tr>
      <w:tr>
        <w:tc>
          <w:tcPr>
            <w:tcW w:type="dxa" w:w="4824"/>
            <w:shd w:val="clear" w:color="auto" w:fill="EEF3FA"/>
            <w:vAlign w:val="center"/>
          </w:tcPr>
          <w:p>
            <w:pPr>
              <w:spacing w:before="40" w:after="40"/>
            </w:pPr>
            <w:r>
              <w:rPr>
                <w:rFonts w:ascii="Arial" w:hAnsi="Arial"/>
                <w:b/>
                <w:color w:val="0B1422"/>
                <w:sz w:val="21"/>
              </w:rPr>
              <w:t>Softmax</w:t>
            </w:r>
          </w:p>
        </w:tc>
        <w:tc>
          <w:tcPr>
            <w:tcW w:type="dxa" w:w="4824"/>
            <w:vAlign w:val="center"/>
          </w:tcPr>
          <w:p>
            <w:pPr>
              <w:spacing w:before="40" w:after="40"/>
            </w:pPr>
            <w:r>
              <w:rPr>
                <w:rFonts w:ascii="Arial" w:hAnsi="Arial"/>
                <w:b w:val="0"/>
                <w:color w:val="1A2433"/>
                <w:sz w:val="21"/>
              </w:rPr>
              <w:t>A function that turns raw scores into probabilities that sum to one.</w:t>
            </w:r>
          </w:p>
        </w:tc>
      </w:tr>
      <w:tr>
        <w:tc>
          <w:tcPr>
            <w:tcW w:type="dxa" w:w="4824"/>
            <w:shd w:val="clear" w:color="auto" w:fill="EEF3FA"/>
            <w:vAlign w:val="center"/>
          </w:tcPr>
          <w:p>
            <w:pPr>
              <w:spacing w:before="40" w:after="40"/>
            </w:pPr>
            <w:r>
              <w:rPr>
                <w:rFonts w:ascii="Arial" w:hAnsi="Arial"/>
                <w:b/>
                <w:color w:val="0B1422"/>
                <w:sz w:val="21"/>
              </w:rPr>
              <w:t>Dropout</w:t>
            </w:r>
          </w:p>
        </w:tc>
        <w:tc>
          <w:tcPr>
            <w:tcW w:type="dxa" w:w="4824"/>
            <w:vAlign w:val="center"/>
          </w:tcPr>
          <w:p>
            <w:pPr>
              <w:spacing w:before="40" w:after="40"/>
            </w:pPr>
            <w:r>
              <w:rPr>
                <w:rFonts w:ascii="Arial" w:hAnsi="Arial"/>
                <w:b w:val="0"/>
                <w:color w:val="1A2433"/>
                <w:sz w:val="21"/>
              </w:rPr>
              <w:t>Randomly disabling neurons during training to prevent over-reliance and overfitting.</w:t>
            </w:r>
          </w:p>
        </w:tc>
      </w:tr>
      <w:tr>
        <w:tc>
          <w:tcPr>
            <w:tcW w:type="dxa" w:w="4824"/>
            <w:shd w:val="clear" w:color="auto" w:fill="EEF3FA"/>
            <w:vAlign w:val="center"/>
          </w:tcPr>
          <w:p>
            <w:pPr>
              <w:spacing w:before="40" w:after="40"/>
            </w:pPr>
            <w:r>
              <w:rPr>
                <w:rFonts w:ascii="Arial" w:hAnsi="Arial"/>
                <w:b/>
                <w:color w:val="0B1422"/>
                <w:sz w:val="21"/>
              </w:rPr>
              <w:t>Logits</w:t>
            </w:r>
          </w:p>
        </w:tc>
        <w:tc>
          <w:tcPr>
            <w:tcW w:type="dxa" w:w="4824"/>
            <w:vAlign w:val="center"/>
          </w:tcPr>
          <w:p>
            <w:pPr>
              <w:spacing w:before="40" w:after="40"/>
            </w:pPr>
            <w:r>
              <w:rPr>
                <w:rFonts w:ascii="Arial" w:hAnsi="Arial"/>
                <w:b w:val="0"/>
                <w:color w:val="1A2433"/>
                <w:sz w:val="21"/>
              </w:rPr>
              <w:t>The raw, un-normalized output scores of the network before softmax.</w:t>
            </w:r>
          </w:p>
        </w:tc>
      </w:tr>
      <w:tr>
        <w:tc>
          <w:tcPr>
            <w:tcW w:type="dxa" w:w="4824"/>
            <w:shd w:val="clear" w:color="auto" w:fill="EEF3FA"/>
            <w:vAlign w:val="center"/>
          </w:tcPr>
          <w:p>
            <w:pPr>
              <w:spacing w:before="40" w:after="40"/>
            </w:pPr>
            <w:r>
              <w:rPr>
                <w:rFonts w:ascii="Arial" w:hAnsi="Arial"/>
                <w:b/>
                <w:color w:val="0B1422"/>
                <w:sz w:val="21"/>
              </w:rPr>
              <w:t>Epoch</w:t>
            </w:r>
          </w:p>
        </w:tc>
        <w:tc>
          <w:tcPr>
            <w:tcW w:type="dxa" w:w="4824"/>
            <w:vAlign w:val="center"/>
          </w:tcPr>
          <w:p>
            <w:pPr>
              <w:spacing w:before="40" w:after="40"/>
            </w:pPr>
            <w:r>
              <w:rPr>
                <w:rFonts w:ascii="Arial" w:hAnsi="Arial"/>
                <w:b w:val="0"/>
                <w:color w:val="1A2433"/>
                <w:sz w:val="21"/>
              </w:rPr>
              <w:t>One full pass of the training data through the model.</w:t>
            </w:r>
          </w:p>
        </w:tc>
      </w:tr>
      <w:tr>
        <w:tc>
          <w:tcPr>
            <w:tcW w:type="dxa" w:w="4824"/>
            <w:shd w:val="clear" w:color="auto" w:fill="EEF3FA"/>
            <w:vAlign w:val="center"/>
          </w:tcPr>
          <w:p>
            <w:pPr>
              <w:spacing w:before="40" w:after="40"/>
            </w:pPr>
            <w:r>
              <w:rPr>
                <w:rFonts w:ascii="Arial" w:hAnsi="Arial"/>
                <w:b/>
                <w:color w:val="0B1422"/>
                <w:sz w:val="21"/>
              </w:rPr>
              <w:t>Early stopping</w:t>
            </w:r>
          </w:p>
        </w:tc>
        <w:tc>
          <w:tcPr>
            <w:tcW w:type="dxa" w:w="4824"/>
            <w:vAlign w:val="center"/>
          </w:tcPr>
          <w:p>
            <w:pPr>
              <w:spacing w:before="40" w:after="40"/>
            </w:pPr>
            <w:r>
              <w:rPr>
                <w:rFonts w:ascii="Arial" w:hAnsi="Arial"/>
                <w:b w:val="0"/>
                <w:color w:val="1A2433"/>
                <w:sz w:val="21"/>
              </w:rPr>
              <w:t>Halting training when validation performance stops improving, to avoid overfitting.</w:t>
            </w:r>
          </w:p>
        </w:tc>
      </w:tr>
    </w:tbl>
    <w:p>
      <w:pPr>
        <w:spacing w:before="40" w:after="120"/>
      </w:pPr>
    </w:p>
    <w:p>
      <w:pPr>
        <w:spacing w:before="320" w:after="80"/>
        <w:pBdr>
          <w:bottom w:val="single" w:sz="12" w:space="6" w:color="DCE6F2"/>
        </w:pBdr>
      </w:pPr>
      <w:r>
        <w:rPr>
          <w:rFonts w:ascii="Arial" w:hAnsi="Arial"/>
          <w:b/>
          <w:color w:val="0891A8"/>
          <w:sz w:val="40"/>
        </w:rPr>
        <w:t xml:space="preserve">20   </w:t>
      </w:r>
      <w:r>
        <w:rPr>
          <w:rFonts w:ascii="Arial" w:hAnsi="Arial"/>
          <w:b/>
          <w:color w:val="0B1422"/>
          <w:sz w:val="40"/>
        </w:rPr>
        <w:t>Conclusion &amp; Future Work</w:t>
      </w:r>
    </w:p>
    <w:p>
      <w:pPr>
        <w:spacing w:before="80" w:after="120"/>
      </w:pPr>
      <w:r>
        <w:rPr>
          <w:rFonts w:ascii="Arial" w:hAnsi="Arial"/>
          <w:b w:val="0"/>
          <w:color w:val="5D6B80"/>
          <w:sz w:val="25"/>
        </w:rPr>
        <w:t>NeuroScan shows that a student project can be accurate, transparent, private and honest at the same time.</w:t>
      </w:r>
    </w:p>
    <w:p>
      <w:pPr>
        <w:spacing w:before="80" w:after="80"/>
      </w:pPr>
      <w:r>
        <w:rPr>
          <w:rFonts w:ascii="Arial" w:hAnsi="Arial"/>
          <w:b w:val="0"/>
          <w:color w:val="1A2433"/>
          <w:sz w:val="22"/>
        </w:rPr>
        <w:t>By pairing a fine-tuned ResNet50 with GradCAM explanations and a local-LLM report, NeuroScan turns a bare prediction into something a human can inspect and understand — all running offline on the user's machine, wrapped in a polished web app and deployed with Docker.</w:t>
      </w:r>
    </w:p>
    <w:p>
      <w:pPr>
        <w:spacing w:before="240" w:after="40"/>
      </w:pPr>
      <w:r>
        <w:rPr>
          <w:rFonts w:ascii="Arial" w:hAnsi="Arial"/>
          <w:b/>
          <w:color w:val="0B1422"/>
          <w:sz w:val="27"/>
        </w:rPr>
        <w:t>Future work</w:t>
      </w:r>
    </w:p>
    <w:p>
      <w:pPr>
        <w:pStyle w:val="ListBullet"/>
        <w:spacing w:before="80" w:after="80"/>
      </w:pPr>
      <w:r>
        <w:rPr>
          <w:rFonts w:ascii="Arial" w:hAnsi="Arial"/>
          <w:b w:val="0"/>
          <w:color w:val="1A2433"/>
          <w:sz w:val="22"/>
        </w:rPr>
        <w:t>Fix the evaluation: a true held-out test set or k-fold cross-validation.</w:t>
      </w:r>
    </w:p>
    <w:p>
      <w:pPr>
        <w:pStyle w:val="ListBullet"/>
        <w:spacing w:before="80" w:after="80"/>
      </w:pPr>
      <w:r>
        <w:rPr>
          <w:rFonts w:ascii="Arial" w:hAnsi="Arial"/>
          <w:b w:val="0"/>
          <w:color w:val="1A2433"/>
          <w:sz w:val="22"/>
        </w:rPr>
        <w:t>Add tumor segmentation to localize, not just classify.</w:t>
      </w:r>
    </w:p>
    <w:p>
      <w:pPr>
        <w:pStyle w:val="ListBullet"/>
        <w:spacing w:before="80" w:after="80"/>
      </w:pPr>
      <w:r>
        <w:rPr>
          <w:rFonts w:ascii="Arial" w:hAnsi="Arial"/>
          <w:b w:val="0"/>
          <w:color w:val="1A2433"/>
          <w:sz w:val="22"/>
        </w:rPr>
        <w:t>Support native DICOM medical-image input.</w:t>
      </w:r>
    </w:p>
    <w:p>
      <w:pPr>
        <w:pStyle w:val="ListBullet"/>
        <w:spacing w:before="80" w:after="80"/>
      </w:pPr>
      <w:r>
        <w:rPr>
          <w:rFonts w:ascii="Arial" w:hAnsi="Arial"/>
          <w:b w:val="0"/>
          <w:color w:val="1A2433"/>
          <w:sz w:val="22"/>
        </w:rPr>
        <w:t>Calibrate confidence and report uncertainty.</w:t>
      </w:r>
    </w:p>
    <w:p>
      <w:pPr>
        <w:pStyle w:val="ListBullet"/>
        <w:spacing w:before="80" w:after="80"/>
      </w:pPr>
      <w:r>
        <w:rPr>
          <w:rFonts w:ascii="Arial" w:hAnsi="Arial"/>
          <w:b w:val="0"/>
          <w:color w:val="1A2433"/>
          <w:sz w:val="22"/>
        </w:rPr>
        <w:t>Evaluate across multiple datasets and scanners for real generalization.</w:t>
      </w:r>
    </w:p>
    <w:tbl>
      <w:tblPr>
        <w:tblW w:type="auto" w:w="0"/>
        <w:tblLook w:firstColumn="1" w:firstRow="1" w:lastColumn="0" w:lastRow="0" w:noHBand="0" w:noVBand="1" w:val="04A0"/>
      </w:tblPr>
      <w:tblGrid>
        <w:gridCol w:w="9648"/>
      </w:tblGrid>
      <w:tr>
        <w:tc>
          <w:tcPr>
            <w:tcW w:type="dxa" w:w="9648"/>
            <w:shd w:val="clear" w:color="auto" w:fill="FBF1E2"/>
            <w:tcBorders>
              <w:start w:val="single" w:sz="24" w:space="0" w:color="B9701A"/>
            </w:tcBorders>
          </w:tcPr>
          <w:p>
            <w:pPr>
              <w:spacing w:before="60" w:after="20"/>
            </w:pPr>
            <w:r>
              <w:rPr>
                <w:rFonts w:ascii="Arial" w:hAnsi="Arial"/>
                <w:b/>
                <w:color w:val="0B1422"/>
                <w:sz w:val="23"/>
              </w:rPr>
              <w:t>Important · Final reminder</w:t>
            </w:r>
          </w:p>
          <w:p>
            <w:pPr>
              <w:spacing w:before="20" w:after="60"/>
            </w:pPr>
            <w:r>
              <w:rPr>
                <w:rFonts w:ascii="Arial" w:hAnsi="Arial"/>
                <w:b w:val="0"/>
                <w:color w:val="1A2433"/>
                <w:sz w:val="22"/>
              </w:rPr>
              <w:t>NeuroScan is for education and research only. It is not a medical device and must not be used for diagnosis.</w:t>
            </w:r>
          </w:p>
        </w:tc>
      </w:tr>
    </w:tbl>
    <w:p>
      <w:pPr>
        <w:spacing w:before="40" w:after="120"/>
      </w:pPr>
    </w:p>
    <w:p>
      <w:pPr>
        <w:spacing w:before="360" w:after="0"/>
        <w:jc w:val="center"/>
        <w:pBdr>
          <w:bottom w:val="single" w:sz="6" w:space="6" w:color="DCE6F2"/>
        </w:pBdr>
      </w:pPr>
    </w:p>
    <w:p>
      <w:pPr>
        <w:spacing w:before="120" w:after="0"/>
        <w:jc w:val="center"/>
      </w:pPr>
      <w:r>
        <w:rPr>
          <w:rFonts w:ascii="Arial" w:hAnsi="Arial"/>
          <w:b w:val="0"/>
          <w:color w:val="5D6B80"/>
          <w:sz w:val="19"/>
        </w:rPr>
        <w:t>Educational &amp; research prototype — not a medical device. Never use for diagnosis.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24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