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240"/>
        <w:jc w:val="center"/>
        <w:rPr/>
      </w:pPr>
      <w:r>
        <w:rPr>
          <w:b/>
          <w:sz w:val="50"/>
        </w:rPr>
        <w:t>Al-Afaq Digital Bank</w:t>
      </w:r>
    </w:p>
    <w:p>
      <w:pPr>
        <w:pStyle w:val="Normal"/>
        <w:jc w:val="center"/>
        <w:rPr/>
      </w:pPr>
      <w:r>
        <w:rPr>
          <w:b/>
          <w:sz w:val="38"/>
        </w:rPr>
        <w:t>Information Security Context, Requirements and Scope</w:t>
      </w:r>
    </w:p>
    <w:p>
      <w:pPr>
        <w:pStyle w:val="Normal"/>
        <w:jc w:val="center"/>
        <w:rPr/>
      </w:pPr>
      <w:r>
        <w:rPr>
          <w:sz w:val="25"/>
        </w:rPr>
        <w:t>ISO/IEC 27001:2022 Information Security Management System</w:t>
      </w:r>
    </w:p>
    <w:tbl>
      <w:tblPr>
        <w:tblStyle w:val="TableGrid"/>
        <w:tblW w:w="96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01"/>
        <w:gridCol w:w="4800"/>
      </w:tblGrid>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CLASSIFICATION</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Internal</w:t>
            </w:r>
          </w:p>
        </w:tc>
      </w:tr>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REF</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ISMS-DOC-04-1</w:t>
            </w:r>
          </w:p>
        </w:tc>
      </w:tr>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VERSION</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1.0</w:t>
            </w:r>
          </w:p>
        </w:tc>
      </w:tr>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DATED</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12 September 2026</w:t>
            </w:r>
          </w:p>
        </w:tc>
      </w:tr>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AUTHOR</w:t>
            </w:r>
          </w:p>
        </w:tc>
        <w:tc>
          <w:tcPr>
            <w:tcW w:w="4800" w:type="dxa"/>
            <w:tcBorders/>
            <w:vAlign w:val="center"/>
          </w:tcPr>
          <w:p>
            <w:pPr>
              <w:pStyle w:val="Normal"/>
              <w:widowControl/>
              <w:spacing w:before="240" w:after="0"/>
              <w:jc w:val="left"/>
              <w:rPr>
                <w:u w:val="double"/>
              </w:rPr>
            </w:pPr>
            <w:r>
              <w:rPr>
                <w:rFonts w:eastAsia="Times New Roman" w:cs="Times New Roman"/>
                <w:b w:val="false"/>
                <w:color w:val="444444"/>
                <w:kern w:val="0"/>
                <w:sz w:val="18"/>
                <w:szCs w:val="24"/>
                <w:lang w:val="en-GB" w:eastAsia="en-US" w:bidi="ar-SA"/>
              </w:rPr>
              <w:t xml:space="preserve">Shiban , </w:t>
            </w:r>
            <w:r>
              <w:rPr>
                <w:rFonts w:eastAsia="Times New Roman" w:cs="Times New Roman"/>
                <w:b w:val="false"/>
                <w:color w:val="444444"/>
                <w:kern w:val="0"/>
                <w:sz w:val="18"/>
                <w:szCs w:val="24"/>
                <w:lang w:val="en-GB" w:eastAsia="en-US" w:bidi="ar-SA"/>
              </w:rPr>
              <w:t>Eyad , Rayan ,Bashar and Alshreef</w:t>
            </w:r>
          </w:p>
        </w:tc>
      </w:tr>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8"/>
                <w:szCs w:val="24"/>
                <w:lang w:val="en-GB" w:eastAsia="en-US" w:bidi="ar-SA"/>
              </w:rPr>
              <w:t>DOCUMENT OWNER</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Security Officer (CISO)</w:t>
            </w:r>
          </w:p>
        </w:tc>
      </w:tr>
    </w:tbl>
    <w:p>
      <w:pPr>
        <w:pStyle w:val="Heading1"/>
        <w:spacing w:before="180" w:after="80"/>
        <w:rPr/>
      </w:pPr>
      <w:r>
        <w:rPr/>
        <w:t>Document Control</w:t>
      </w:r>
    </w:p>
    <w:p>
      <w:pPr>
        <w:pStyle w:val="Heading2"/>
        <w:spacing w:before="180" w:after="80"/>
        <w:rPr/>
      </w:pPr>
      <w:r>
        <w:rPr/>
        <w:t>Revision history</w:t>
      </w:r>
    </w:p>
    <w:tbl>
      <w:tblPr>
        <w:tblStyle w:val="TableGrid"/>
        <w:tblW w:w="96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0"/>
        <w:gridCol w:w="2400"/>
        <w:gridCol w:w="2400"/>
        <w:gridCol w:w="2399"/>
      </w:tblGrid>
      <w:tr>
        <w:trPr/>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VERSION</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DATE</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REVISION AUTHOR</w:t>
            </w:r>
          </w:p>
        </w:tc>
        <w:tc>
          <w:tcPr>
            <w:tcW w:w="2399"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SUMMARY OF CHANGES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1.0</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12 September 2026</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Shiban Mohammed Ali Hussein Shiban</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Initial academic ISMS context, requirements and scope document based on the Al-Afaq Digital Bank case study.</w:t>
            </w:r>
          </w:p>
        </w:tc>
      </w:tr>
    </w:tbl>
    <w:p>
      <w:pPr>
        <w:pStyle w:val="Heading2"/>
        <w:spacing w:before="180" w:after="80"/>
        <w:rPr/>
      </w:pPr>
      <w:r>
        <w:rPr/>
        <w:t>Distribution</w:t>
      </w:r>
    </w:p>
    <w:tbl>
      <w:tblPr>
        <w:tblStyle w:val="TableGrid"/>
        <w:tblW w:w="96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01"/>
        <w:gridCol w:w="4800"/>
      </w:tblGrid>
      <w:tr>
        <w:trPr/>
        <w:tc>
          <w:tcPr>
            <w:tcW w:w="48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NAME</w:t>
            </w:r>
          </w:p>
        </w:tc>
        <w:tc>
          <w:tcPr>
            <w:tcW w:w="48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TITLE</w:t>
            </w:r>
          </w:p>
        </w:tc>
      </w:tr>
      <w:tr>
        <w:trPr/>
        <w:tc>
          <w:tcPr>
            <w:tcW w:w="48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Abdullah Al-Mohaysen</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Chairman of the Board</w:t>
            </w:r>
          </w:p>
        </w:tc>
      </w:tr>
      <w:tr>
        <w:trPr/>
        <w:tc>
          <w:tcPr>
            <w:tcW w:w="48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Dr. Noura Al-Qahtani</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Executive Officer</w:t>
            </w:r>
          </w:p>
        </w:tc>
      </w:tr>
      <w:tr>
        <w:trPr/>
        <w:tc>
          <w:tcPr>
            <w:tcW w:w="48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Sarah Al-Harbi</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Security Officer</w:t>
            </w:r>
          </w:p>
        </w:tc>
      </w:tr>
      <w:tr>
        <w:trPr/>
        <w:tc>
          <w:tcPr>
            <w:tcW w:w="48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Fahad Al-Otaibi</w:t>
            </w:r>
          </w:p>
        </w:tc>
        <w:tc>
          <w:tcPr>
            <w:tcW w:w="48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Officer</w:t>
            </w:r>
          </w:p>
        </w:tc>
      </w:tr>
    </w:tbl>
    <w:p>
      <w:pPr>
        <w:pStyle w:val="Heading2"/>
        <w:spacing w:before="180" w:after="80"/>
        <w:rPr/>
      </w:pPr>
      <w:r>
        <w:rPr/>
        <w:t>Approval</w:t>
      </w:r>
    </w:p>
    <w:tbl>
      <w:tblPr>
        <w:tblStyle w:val="TableGrid"/>
        <w:tblW w:w="96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0"/>
        <w:gridCol w:w="2400"/>
        <w:gridCol w:w="2400"/>
        <w:gridCol w:w="2399"/>
      </w:tblGrid>
      <w:tr>
        <w:trPr/>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NAME</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POSITION</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SIGNATURE</w:t>
            </w:r>
          </w:p>
        </w:tc>
        <w:tc>
          <w:tcPr>
            <w:tcW w:w="2399"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DATE</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Dr. Noura Al-Qahtani</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Executive Officer</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Approved for academic project use</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12 September 2026</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Sarah Al-Harbi</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Chief Information Security Officer</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Reviewed</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8"/>
                <w:szCs w:val="24"/>
                <w:lang w:val="en-GB" w:eastAsia="en-US" w:bidi="ar-SA"/>
              </w:rPr>
              <w:t>12 September 2026</w:t>
            </w:r>
          </w:p>
        </w:tc>
      </w:tr>
    </w:tbl>
    <w:p>
      <w:pPr>
        <w:pStyle w:val="Heading1"/>
        <w:spacing w:before="180" w:after="80"/>
        <w:rPr/>
      </w:pPr>
      <w:r>
        <w:rPr/>
        <w:t>1 Introduction</w:t>
      </w:r>
    </w:p>
    <w:p>
      <w:pPr>
        <w:pStyle w:val="Normal"/>
        <w:spacing w:lineRule="auto" w:line="259" w:before="240" w:after="100"/>
        <w:rPr/>
      </w:pPr>
      <w:r>
        <w:rPr/>
        <w:t>Al-Afaq Digital Bank is a financial institution operating in the Kingdom of Saudi Arabia with a strong dependence on digital banking, information technology, financial systems and customer data. This document defines the organizational context, interested-party requirements, information security objectives and proposed scope of the Information Security Management System (ISMS) for the academic implementation of ISO/IEC 27001:2022.</w:t>
      </w:r>
    </w:p>
    <w:p>
      <w:pPr>
        <w:pStyle w:val="Normal"/>
        <w:spacing w:lineRule="auto" w:line="259" w:before="240" w:after="100"/>
        <w:rPr/>
      </w:pPr>
      <w:r>
        <w:rPr/>
        <w:t>The ISMS is intended to provide a structured approach for protecting the confidentiality, integrity and availability of customer, employee, financial, operational, technical and security information. It also supports regulatory compliance, service continuity, customer confidence and continual improvement.</w:t>
      </w:r>
    </w:p>
    <w:p>
      <w:pPr>
        <w:pStyle w:val="Normal"/>
        <w:spacing w:lineRule="auto" w:line="259" w:before="240" w:after="100"/>
        <w:rPr/>
      </w:pPr>
      <w:r>
        <w:rPr/>
        <w:t>The document reflects the current-state information provided in the Al-Afaq Digital Bank case study. Where the case study does not provide a numerical or historical detail, this document does not invent one.</w:t>
      </w:r>
    </w:p>
    <w:p>
      <w:pPr>
        <w:pStyle w:val="Heading1"/>
        <w:spacing w:before="180" w:after="80"/>
        <w:rPr/>
      </w:pPr>
      <w:r>
        <w:rPr/>
        <w:t>2 Organizational context</w:t>
      </w:r>
    </w:p>
    <w:p>
      <w:pPr>
        <w:pStyle w:val="Normal"/>
        <w:spacing w:lineRule="auto" w:line="259" w:before="240" w:after="100"/>
        <w:rPr/>
      </w:pPr>
      <w:r>
        <w:rPr/>
        <w:t>Al-Afaq Digital Bank operates in the Saudi banking sector and provides banking services to individual and corporate customers. Its operations depend on centralized banking applications, payment services, information systems, physical branches, automated teller machines, telecommunications and security technologies.</w:t>
      </w:r>
    </w:p>
    <w:p>
      <w:pPr>
        <w:pStyle w:val="Heading2"/>
        <w:spacing w:before="180" w:after="80"/>
        <w:rPr/>
      </w:pPr>
      <w:r>
        <w:rPr/>
        <w:t>2.1 Activities</w:t>
      </w:r>
    </w:p>
    <w:p>
      <w:pPr>
        <w:pStyle w:val="ListBullet"/>
        <w:spacing w:before="240" w:after="40"/>
        <w:ind w:left="360"/>
        <w:rPr/>
      </w:pPr>
      <w:r>
        <w:rPr/>
        <w:t>Provide retail and corporate banking services through branches and digital channels.</w:t>
      </w:r>
    </w:p>
    <w:p>
      <w:pPr>
        <w:pStyle w:val="ListBullet"/>
        <w:spacing w:before="240" w:after="40"/>
        <w:ind w:left="360"/>
        <w:rPr/>
      </w:pPr>
      <w:r>
        <w:rPr/>
        <w:t>Operate Afaq Plus mobile banking and Afaq Net online banking services.</w:t>
      </w:r>
    </w:p>
    <w:p>
      <w:pPr>
        <w:pStyle w:val="ListBullet"/>
        <w:spacing w:before="240" w:after="40"/>
        <w:ind w:left="360"/>
        <w:rPr/>
      </w:pPr>
      <w:r>
        <w:rPr/>
        <w:t>Process core banking activities including account opening, deposits, loans and customer relationship management.</w:t>
      </w:r>
    </w:p>
    <w:p>
      <w:pPr>
        <w:pStyle w:val="ListBullet"/>
        <w:spacing w:before="240" w:after="40"/>
        <w:ind w:left="360"/>
        <w:rPr/>
      </w:pPr>
      <w:r>
        <w:rPr/>
        <w:t>Issue and manage debit and credit cards and process card transactions.</w:t>
      </w:r>
    </w:p>
    <w:p>
      <w:pPr>
        <w:pStyle w:val="ListBullet"/>
        <w:spacing w:before="240" w:after="40"/>
        <w:ind w:left="360"/>
        <w:rPr/>
      </w:pPr>
      <w:r>
        <w:rPr/>
        <w:t>Process instant payments through the national payments network.</w:t>
      </w:r>
    </w:p>
    <w:p>
      <w:pPr>
        <w:pStyle w:val="ListBullet"/>
        <w:spacing w:before="240" w:after="40"/>
        <w:ind w:left="360"/>
        <w:rPr/>
      </w:pPr>
      <w:r>
        <w:rPr/>
        <w:t>Manage treasury, investments, foreign exchange, interest-rate information and interbank lending arrangements.</w:t>
      </w:r>
    </w:p>
    <w:p>
      <w:pPr>
        <w:pStyle w:val="ListBullet"/>
        <w:spacing w:before="240" w:after="40"/>
        <w:ind w:left="360"/>
        <w:rPr/>
      </w:pPr>
      <w:r>
        <w:rPr/>
        <w:t>Conduct international banking operations and international financial transfers through correspondent relationships.</w:t>
      </w:r>
    </w:p>
    <w:p>
      <w:pPr>
        <w:pStyle w:val="ListBullet"/>
        <w:spacing w:before="240" w:after="40"/>
        <w:ind w:left="360"/>
        <w:rPr/>
      </w:pPr>
      <w:r>
        <w:rPr/>
        <w:t>Operate customer service, fraud detection, finance, human resources, procurement, legal, compliance, technology and security functions.</w:t>
      </w:r>
    </w:p>
    <w:p>
      <w:pPr>
        <w:pStyle w:val="ListBullet"/>
        <w:spacing w:before="240" w:after="40"/>
        <w:ind w:left="360"/>
        <w:rPr/>
      </w:pPr>
      <w:r>
        <w:rPr/>
        <w:t>Maintain critical technology services through a main data centre in Riyadh and a disaster recovery centre in Jeddah.</w:t>
      </w:r>
    </w:p>
    <w:p>
      <w:pPr>
        <w:pStyle w:val="Normal"/>
        <w:spacing w:lineRule="auto" w:line="259" w:before="240" w:after="100"/>
        <w:rPr/>
      </w:pPr>
      <w:r>
        <w:rPr/>
        <w:t>The bank serves more than 500,000 customers and employs approximately 2,500 staff. It operates 25 banking branches and approximately 75 standalone ATMs in locations such as shopping centres, airports and hospitals.</w:t>
      </w:r>
    </w:p>
    <w:p>
      <w:pPr>
        <w:pStyle w:val="Heading2"/>
        <w:spacing w:before="180" w:after="80"/>
        <w:rPr/>
      </w:pPr>
      <w:r>
        <w:rPr/>
        <w:t>2.2 Functions</w:t>
      </w:r>
    </w:p>
    <w:p>
      <w:pPr>
        <w:pStyle w:val="Normal"/>
        <w:spacing w:lineRule="auto" w:line="259" w:before="240" w:after="100"/>
        <w:rPr/>
      </w:pPr>
      <w:r>
        <w:rPr/>
        <w:t>The organizational structure relevant to the ISMS includes the following functions and departments:</w:t>
      </w:r>
    </w:p>
    <w:p>
      <w:pPr>
        <w:pStyle w:val="ListBullet"/>
        <w:spacing w:before="240" w:after="40"/>
        <w:ind w:left="360"/>
        <w:rPr/>
      </w:pPr>
      <w:r>
        <w:rPr/>
        <w:t>Board of Directors, Chief Executive Officer and Executive Office.</w:t>
      </w:r>
    </w:p>
    <w:p>
      <w:pPr>
        <w:pStyle w:val="ListBullet"/>
        <w:spacing w:before="240" w:after="40"/>
        <w:ind w:left="360"/>
        <w:rPr/>
      </w:pPr>
      <w:r>
        <w:rPr/>
        <w:t>Enterprise Risk Management, Compliance and Governance, Legal Affairs and Internal Audit.</w:t>
      </w:r>
    </w:p>
    <w:p>
      <w:pPr>
        <w:pStyle w:val="ListBullet"/>
        <w:spacing w:before="240" w:after="40"/>
        <w:ind w:left="360"/>
        <w:rPr/>
      </w:pPr>
      <w:r>
        <w:rPr/>
        <w:t>Information Technology, including Infrastructure and Networks, Banking Applications, Software Development, Databases and Technical Support.</w:t>
      </w:r>
    </w:p>
    <w:p>
      <w:pPr>
        <w:pStyle w:val="ListBullet"/>
        <w:spacing w:before="240" w:after="40"/>
        <w:ind w:left="360"/>
        <w:rPr/>
      </w:pPr>
      <w:r>
        <w:rPr/>
        <w:t>Information Security, including Information Security Governance, Security Operations Centre, Incident Response, and Risk and Vulnerability Assessment.</w:t>
      </w:r>
    </w:p>
    <w:p>
      <w:pPr>
        <w:pStyle w:val="ListBullet"/>
        <w:spacing w:before="240" w:after="40"/>
        <w:ind w:left="360"/>
        <w:rPr/>
      </w:pPr>
      <w:r>
        <w:rPr/>
        <w:t>Banking Operations.</w:t>
      </w:r>
    </w:p>
    <w:p>
      <w:pPr>
        <w:pStyle w:val="ListBullet"/>
        <w:spacing w:before="240" w:after="40"/>
        <w:ind w:left="360"/>
        <w:rPr/>
      </w:pPr>
      <w:r>
        <w:rPr/>
        <w:t>Human Resources, including Recruitment, Training and Development, and Personnel Affairs.</w:t>
      </w:r>
    </w:p>
    <w:p>
      <w:pPr>
        <w:pStyle w:val="ListBullet"/>
        <w:spacing w:before="240" w:after="40"/>
        <w:ind w:left="360"/>
        <w:rPr/>
      </w:pPr>
      <w:r>
        <w:rPr/>
        <w:t>Facilities and General Services, and Procurement and Contracts.</w:t>
      </w:r>
    </w:p>
    <w:p>
      <w:pPr>
        <w:pStyle w:val="ListBullet"/>
        <w:spacing w:before="240" w:after="40"/>
        <w:ind w:left="360"/>
        <w:rPr/>
      </w:pPr>
      <w:r>
        <w:rPr/>
        <w:t>Retail Banking, Corporate Banking, Treasury and Investment, International Banking Operations, and Marketing and Customer Experience.</w:t>
      </w:r>
    </w:p>
    <w:p>
      <w:pPr>
        <w:pStyle w:val="ListBullet"/>
        <w:spacing w:before="240" w:after="40"/>
        <w:ind w:left="360"/>
        <w:rPr/>
      </w:pPr>
      <w:r>
        <w:rPr/>
        <w:t>Finance, Accounting, and Payroll and Benefits.</w:t>
      </w:r>
    </w:p>
    <w:p>
      <w:pPr>
        <w:pStyle w:val="Normal"/>
        <w:spacing w:lineRule="auto" w:line="259" w:before="240" w:after="100"/>
        <w:rPr/>
      </w:pPr>
      <w:r>
        <w:rPr/>
        <w:t>Key information-security responsibilities are concentrated in the Information Security and Information Technology functions. The case study identifies Sarah Al-Harbi as CISO, Fahad Al-Otaibi as CIO, an eight-person SOC, a four-person information security governance team, a three-person incident response team and a two-person risk and vulnerability assessment team.</w:t>
      </w:r>
    </w:p>
    <w:p>
      <w:pPr>
        <w:pStyle w:val="Normal"/>
        <w:jc w:val="center"/>
        <w:rPr/>
      </w:pPr>
      <w:r>
        <w:rPr>
          <w:i/>
          <w:sz w:val="18"/>
        </w:rPr>
        <w:t>Figure 1: ISMS-relevant organization structure</w:t>
      </w:r>
    </w:p>
    <w:p>
      <w:pPr>
        <w:pStyle w:val="Heading2"/>
        <w:spacing w:before="180" w:after="80"/>
        <w:rPr/>
      </w:pPr>
      <w:r>
        <w:rPr/>
        <w:t>2.3 Products and services</w:t>
      </w:r>
    </w:p>
    <w:p>
      <w:pPr>
        <w:pStyle w:val="ListBullet"/>
        <w:spacing w:before="240" w:after="40"/>
        <w:ind w:left="360"/>
        <w:rPr/>
      </w:pPr>
      <w:r>
        <w:rPr/>
        <w:t>Afaq Plus mobile banking application for account management, transfers, bill payments and investment services.</w:t>
      </w:r>
    </w:p>
    <w:p>
      <w:pPr>
        <w:pStyle w:val="ListBullet"/>
        <w:spacing w:before="240" w:after="40"/>
        <w:ind w:left="360"/>
        <w:rPr/>
      </w:pPr>
      <w:r>
        <w:rPr/>
        <w:t>Afaq Net browser-based online banking platform with additional capabilities for corporate customers.</w:t>
      </w:r>
    </w:p>
    <w:p>
      <w:pPr>
        <w:pStyle w:val="ListBullet"/>
        <w:spacing w:before="240" w:after="40"/>
        <w:ind w:left="360"/>
        <w:rPr/>
      </w:pPr>
      <w:r>
        <w:rPr/>
        <w:t>Core Banking System supporting account opening, deposits, loans and customer relationship management.</w:t>
      </w:r>
    </w:p>
    <w:p>
      <w:pPr>
        <w:pStyle w:val="ListBullet"/>
        <w:spacing w:before="240" w:after="40"/>
        <w:ind w:left="360"/>
        <w:rPr/>
      </w:pPr>
      <w:r>
        <w:rPr/>
        <w:t>Card Management System supporting card issuance, activation, cancellation, card transactions and fraud monitoring.</w:t>
      </w:r>
    </w:p>
    <w:p>
      <w:pPr>
        <w:pStyle w:val="ListBullet"/>
        <w:spacing w:before="240" w:after="40"/>
        <w:ind w:left="360"/>
        <w:rPr/>
      </w:pPr>
      <w:r>
        <w:rPr/>
        <w:t>Instant Payments System connected to the national payments network and operating around the clock.</w:t>
      </w:r>
    </w:p>
    <w:p>
      <w:pPr>
        <w:pStyle w:val="ListBullet"/>
        <w:spacing w:before="240" w:after="40"/>
        <w:ind w:left="360"/>
        <w:rPr/>
      </w:pPr>
      <w:r>
        <w:rPr/>
        <w:t>Retail and corporate banking services delivered through branches and digital channels.</w:t>
      </w:r>
    </w:p>
    <w:p>
      <w:pPr>
        <w:pStyle w:val="ListBullet"/>
        <w:spacing w:before="240" w:after="40"/>
        <w:ind w:left="360"/>
        <w:rPr/>
      </w:pPr>
      <w:r>
        <w:rPr/>
        <w:t>Treasury and investment services, including investment portfolios, trading records, foreign exchange and interest-rate information.</w:t>
      </w:r>
    </w:p>
    <w:p>
      <w:pPr>
        <w:pStyle w:val="ListBullet"/>
        <w:spacing w:before="240" w:after="40"/>
        <w:ind w:left="360"/>
        <w:rPr/>
      </w:pPr>
      <w:r>
        <w:rPr/>
        <w:t>International banking and financial transfer services through correspondent relationships.</w:t>
      </w:r>
    </w:p>
    <w:p>
      <w:pPr>
        <w:pStyle w:val="ListBullet"/>
        <w:spacing w:before="240" w:after="40"/>
        <w:ind w:left="360"/>
        <w:rPr/>
      </w:pPr>
      <w:r>
        <w:rPr/>
        <w:t>Customer service and fraud detection services supporting secure banking operations.</w:t>
      </w:r>
    </w:p>
    <w:p>
      <w:pPr>
        <w:pStyle w:val="Normal"/>
        <w:spacing w:lineRule="auto" w:line="259" w:before="240" w:after="100"/>
        <w:rPr/>
      </w:pPr>
      <w:r>
        <w:rPr/>
        <w:t>These services process sensitive personal and financial information and support critical financial transactions. Customer information includes personal identifiers, account details, transaction history, card information, biometric information and digital-service credentials.</w:t>
      </w:r>
    </w:p>
    <w:p>
      <w:pPr>
        <w:pStyle w:val="Heading2"/>
        <w:spacing w:before="180" w:after="80"/>
        <w:rPr/>
      </w:pPr>
      <w:r>
        <w:rPr/>
        <w:t>2.4 Supply chains</w:t>
      </w:r>
    </w:p>
    <w:p>
      <w:pPr>
        <w:pStyle w:val="Normal"/>
        <w:spacing w:lineRule="auto" w:line="259" w:before="240" w:after="100"/>
        <w:rPr/>
      </w:pPr>
      <w:r>
        <w:rPr/>
        <w:t>The ISMS scope considers the following material supply-chain relationships because failures or weaknesses in these relationships can affect information security or service availability:</w:t>
      </w:r>
    </w:p>
    <w:tbl>
      <w:tblPr>
        <w:tblStyle w:val="TableGrid"/>
        <w:tblW w:w="96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0"/>
        <w:gridCol w:w="2400"/>
        <w:gridCol w:w="2400"/>
        <w:gridCol w:w="2399"/>
      </w:tblGrid>
      <w:tr>
        <w:trPr/>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SUPPLY-CHAIN PARTY</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SERVICE / DEPENDENCY</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RELATIONSHIP</w:t>
            </w:r>
          </w:p>
        </w:tc>
        <w:tc>
          <w:tcPr>
            <w:tcW w:w="2399"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SECURITY RELEVANCE</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Amazon Web Services (AWS)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Cloud services for non-critical development, testing and analytics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cloud provider</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Requires defined security requirements, risk assessment, access controls, encryption and responsibility boundaries.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Mobile application development company</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development support for Afaq Plus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Third-party technology partner</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Requires secure development requirements, controlled testing and secure test data.</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Saudi Telecom Company (STC)</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Primary Internet connectivity</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telecommunications provider</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Availability and security of communications are essential to digital banking services.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cybersecurity consultant</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Quarterly vulnerability assessment</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specialist</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Provides vulnerability assessment information that must be managed and remediated.</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ATM maintenance provider</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Maintenance and support for ATM infrastructure</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service provider</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Requires controlled access, service procedures and incident handling.</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Cash and security services company</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Cash transportation between branches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physical-security provider</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Requires clear security procedures and incident reporting arrangements.</w:t>
            </w:r>
          </w:p>
        </w:tc>
      </w:tr>
    </w:tbl>
    <w:p>
      <w:pPr>
        <w:pStyle w:val="Heading1"/>
        <w:spacing w:before="180" w:after="80"/>
        <w:rPr/>
      </w:pPr>
      <w:r>
        <w:rPr/>
        <w:t>3 Internal and external issues</w:t>
      </w:r>
    </w:p>
    <w:p>
      <w:pPr>
        <w:pStyle w:val="Normal"/>
        <w:spacing w:lineRule="auto" w:line="259" w:before="240" w:after="100"/>
        <w:rPr/>
      </w:pPr>
      <w:r>
        <w:rPr/>
        <w:t>The following issues are relevant to the purpose of the ISMS and to the bank’s ability to achieve intended information-security outcomes.</w:t>
      </w:r>
    </w:p>
    <w:p>
      <w:pPr>
        <w:pStyle w:val="Heading2"/>
        <w:spacing w:before="180" w:after="80"/>
        <w:rPr/>
      </w:pPr>
      <w:r>
        <w:rPr/>
        <w:t>3.1 Internal issues</w:t>
      </w:r>
    </w:p>
    <w:p>
      <w:pPr>
        <w:pStyle w:val="ListBullet"/>
        <w:spacing w:before="240" w:after="40"/>
        <w:ind w:left="360"/>
        <w:rPr/>
      </w:pPr>
      <w:r>
        <w:rPr/>
        <w:t>Information-security practices exist but are not consistently systematic or fully documented.</w:t>
      </w:r>
    </w:p>
    <w:p>
      <w:pPr>
        <w:pStyle w:val="ListBullet"/>
        <w:spacing w:before="240" w:after="40"/>
        <w:ind w:left="360"/>
        <w:rPr/>
      </w:pPr>
      <w:r>
        <w:rPr/>
        <w:t>Some security policies are outdated or incomplete, including acceptable-use practices and cloud-security governance.</w:t>
      </w:r>
    </w:p>
    <w:p>
      <w:pPr>
        <w:pStyle w:val="ListBullet"/>
        <w:spacing w:before="240" w:after="40"/>
        <w:ind w:left="360"/>
        <w:rPr/>
      </w:pPr>
      <w:r>
        <w:rPr/>
        <w:t>Information-security culture is not fully established; some long-serving employees perceive security procedures as bureaucracy that can slow operations.</w:t>
      </w:r>
    </w:p>
    <w:p>
      <w:pPr>
        <w:pStyle w:val="ListBullet"/>
        <w:spacing w:before="240" w:after="40"/>
        <w:ind w:left="360"/>
        <w:rPr/>
      </w:pPr>
      <w:r>
        <w:rPr/>
        <w:t>Information Technology staff turnover is approximately 12% annually, creating a knowledge-retention challenge.</w:t>
      </w:r>
    </w:p>
    <w:p>
      <w:pPr>
        <w:pStyle w:val="ListBullet"/>
        <w:spacing w:before="240" w:after="40"/>
        <w:ind w:left="360"/>
        <w:rPr/>
      </w:pPr>
      <w:r>
        <w:rPr/>
        <w:t>Privileged administrator passwords are managed manually and a dedicated privileged-password management system is not currently available.</w:t>
      </w:r>
    </w:p>
    <w:p>
      <w:pPr>
        <w:pStyle w:val="ListBullet"/>
        <w:spacing w:before="240" w:after="40"/>
        <w:ind w:left="360"/>
        <w:rPr/>
      </w:pPr>
      <w:r>
        <w:rPr/>
        <w:t>A SIEM is not currently available and security logs are analysed manually.</w:t>
      </w:r>
    </w:p>
    <w:p>
      <w:pPr>
        <w:pStyle w:val="ListBullet"/>
        <w:spacing w:before="240" w:after="40"/>
        <w:ind w:left="360"/>
        <w:rPr/>
      </w:pPr>
      <w:r>
        <w:rPr/>
        <w:t>System clocks are not consistently synchronized, with a previously observed difference of up to seven minutes between firewall and server logs.</w:t>
      </w:r>
    </w:p>
    <w:p>
      <w:pPr>
        <w:pStyle w:val="ListBullet"/>
        <w:spacing w:before="240" w:after="40"/>
        <w:ind w:left="360"/>
        <w:rPr/>
      </w:pPr>
      <w:r>
        <w:rPr/>
        <w:t>Legacy systems remain in use, including the payroll system planned for replacement within the next two years.</w:t>
      </w:r>
    </w:p>
    <w:p>
      <w:pPr>
        <w:pStyle w:val="ListBullet"/>
        <w:spacing w:before="240" w:after="40"/>
        <w:ind w:left="360"/>
        <w:rPr/>
      </w:pPr>
      <w:r>
        <w:rPr/>
        <w:t>Vulnerability management has an unresolved backlog, including one remaining high-risk Afaq Plus vulnerability and multiple medium-risk findings.</w:t>
      </w:r>
    </w:p>
    <w:p>
      <w:pPr>
        <w:pStyle w:val="ListBullet"/>
        <w:spacing w:before="240" w:after="40"/>
        <w:ind w:left="360"/>
        <w:rPr/>
      </w:pPr>
      <w:r>
        <w:rPr/>
        <w:t>Real customer information has been used in testing contexts, creating privacy and data-protection exposure.</w:t>
      </w:r>
    </w:p>
    <w:p>
      <w:pPr>
        <w:pStyle w:val="ListBullet"/>
        <w:spacing w:before="240" w:after="40"/>
        <w:ind w:left="360"/>
        <w:rPr/>
      </w:pPr>
      <w:r>
        <w:rPr/>
        <w:t>Previous incidents demonstrated weaknesses in change control, monitoring, incident learning, encryption coverage, access reviews and certificate expiry monitoring.</w:t>
      </w:r>
    </w:p>
    <w:p>
      <w:pPr>
        <w:pStyle w:val="ListBullet"/>
        <w:spacing w:before="240" w:after="40"/>
        <w:ind w:left="360"/>
        <w:rPr/>
      </w:pPr>
      <w:r>
        <w:rPr/>
        <w:t>The bank has a security budget of approximately SAR 12 million annually, with an expected increase to approximately SAR 18 million after full ISMS implementation.</w:t>
      </w:r>
    </w:p>
    <w:p>
      <w:pPr>
        <w:pStyle w:val="Heading2"/>
        <w:spacing w:before="180" w:after="80"/>
        <w:rPr/>
      </w:pPr>
      <w:r>
        <w:rPr/>
        <w:t>3.2 External issues</w:t>
      </w:r>
    </w:p>
    <w:p>
      <w:pPr>
        <w:pStyle w:val="ListBullet"/>
        <w:spacing w:before="240" w:after="40"/>
        <w:ind w:left="360"/>
        <w:rPr/>
      </w:pPr>
      <w:r>
        <w:rPr/>
        <w:t>Saudi Central Bank (SAMA) regulatory and cybersecurity requirements apply to banking operations.</w:t>
      </w:r>
    </w:p>
    <w:p>
      <w:pPr>
        <w:pStyle w:val="ListBullet"/>
        <w:spacing w:before="240" w:after="40"/>
        <w:ind w:left="360"/>
        <w:rPr/>
      </w:pPr>
      <w:r>
        <w:rPr/>
        <w:t>The Personal Data Protection Law and related requirements overseen by the Saudi Data and Artificial Intelligence Authority (SDAIA) affect the collection, processing, retention and transfer of personal data.</w:t>
      </w:r>
    </w:p>
    <w:p>
      <w:pPr>
        <w:pStyle w:val="ListBullet"/>
        <w:spacing w:before="240" w:after="40"/>
        <w:ind w:left="360"/>
        <w:rPr/>
      </w:pPr>
      <w:r>
        <w:rPr/>
        <w:t>Cybersecurity guidance and alerts from the National Cybersecurity Authority are relevant to the bank.</w:t>
      </w:r>
    </w:p>
    <w:p>
      <w:pPr>
        <w:pStyle w:val="ListBullet"/>
        <w:spacing w:before="240" w:after="40"/>
        <w:ind w:left="360"/>
        <w:rPr/>
      </w:pPr>
      <w:r>
        <w:rPr/>
        <w:t>International banking and correspondent relationships create requirements related to cross-border financial transactions, anti-money laundering and counter-terrorist financing expectations, and data protection requirements in relevant jurisdictions.</w:t>
      </w:r>
    </w:p>
    <w:p>
      <w:pPr>
        <w:pStyle w:val="ListBullet"/>
        <w:spacing w:before="240" w:after="40"/>
        <w:ind w:left="360"/>
        <w:rPr/>
      </w:pPr>
      <w:r>
        <w:rPr/>
        <w:t>The Saudi banking market is highly competitive, with new digital banks and increasing reliance on digital services.</w:t>
      </w:r>
    </w:p>
    <w:p>
      <w:pPr>
        <w:pStyle w:val="ListBullet"/>
        <w:spacing w:before="240" w:after="40"/>
        <w:ind w:left="360"/>
        <w:rPr/>
      </w:pPr>
      <w:r>
        <w:rPr/>
        <w:t>Rapid digital adoption and high smartphone use increase customer dependence on secure and continuously available digital banking services.</w:t>
      </w:r>
    </w:p>
    <w:p>
      <w:pPr>
        <w:pStyle w:val="ListBullet"/>
        <w:spacing w:before="240" w:after="40"/>
        <w:ind w:left="360"/>
        <w:rPr/>
      </w:pPr>
      <w:r>
        <w:rPr/>
        <w:t>Organized cybercrime creates continuing threats including ransomware, phishing, distributed denial-of-service attacks, supply-chain attacks, insider threats and exploitation of vulnerabilities in mobile and online banking applications.</w:t>
      </w:r>
    </w:p>
    <w:p>
      <w:pPr>
        <w:pStyle w:val="ListBullet"/>
        <w:spacing w:before="240" w:after="40"/>
        <w:ind w:left="360"/>
        <w:rPr/>
      </w:pPr>
      <w:r>
        <w:rPr/>
        <w:t>Use of AWS and external technology partners introduces third-party and cloud-security dependencies.</w:t>
      </w:r>
    </w:p>
    <w:p>
      <w:pPr>
        <w:pStyle w:val="ListBullet"/>
        <w:spacing w:before="240" w:after="40"/>
        <w:ind w:left="360"/>
        <w:rPr/>
      </w:pPr>
      <w:r>
        <w:rPr/>
        <w:t>Physical disruption and natural disasters remain relevant to service continuity; geographic separation between Riyadh and Jeddah provides an important continuity measure.</w:t>
      </w:r>
    </w:p>
    <w:p>
      <w:pPr>
        <w:pStyle w:val="ListBullet"/>
        <w:spacing w:before="240" w:after="40"/>
        <w:ind w:left="360"/>
        <w:rPr/>
      </w:pPr>
      <w:r>
        <w:rPr/>
        <w:t>Customer confidence and public reputation can be significantly affected by security incidents or visible service-security failures.</w:t>
      </w:r>
    </w:p>
    <w:p>
      <w:pPr>
        <w:pStyle w:val="Heading2"/>
        <w:spacing w:before="180" w:after="80"/>
        <w:rPr/>
      </w:pPr>
      <w:r>
        <w:rPr/>
        <w:t>3.3 Risk appetite</w:t>
      </w:r>
    </w:p>
    <w:p>
      <w:pPr>
        <w:pStyle w:val="Normal"/>
        <w:spacing w:lineRule="auto" w:line="259" w:before="240" w:after="100"/>
        <w:rPr/>
      </w:pPr>
      <w:r>
        <w:rPr/>
        <w:t>The information-security risk appetite for the ISMS is set to Low. This reflects the critical nature of banking services, the sensitivity of customer and financial information, regulatory expectations, the potential financial and reputational impact of security incidents, and the bank’s dependence on continuously available digital services.</w:t>
      </w:r>
    </w:p>
    <w:p>
      <w:pPr>
        <w:pStyle w:val="Normal"/>
        <w:spacing w:lineRule="auto" w:line="259" w:before="240" w:after="100"/>
        <w:rPr/>
      </w:pPr>
      <w:r>
        <w:rPr/>
        <w:t>The bank should avoid unnecessary information-security risk and prioritize measures for risks affecting customer data, financial transactions, critical banking services, regulatory compliance and essential technology infrastructure. Residual risk should be formally assessed and accepted only at an appropriate management level.</w:t>
      </w:r>
    </w:p>
    <w:p>
      <w:pPr>
        <w:pStyle w:val="Heading1"/>
        <w:spacing w:before="180" w:after="80"/>
        <w:rPr/>
      </w:pPr>
      <w:r>
        <w:rPr/>
        <w:t>4 Interested parties and their requirements</w:t>
      </w:r>
    </w:p>
    <w:p>
      <w:pPr>
        <w:pStyle w:val="Normal"/>
        <w:spacing w:lineRule="auto" w:line="259" w:before="240" w:after="100"/>
        <w:rPr/>
      </w:pPr>
      <w:r>
        <w:rPr/>
        <w:t>The following interested parties are relevant to the ISMS because they can affect, be affected by, or have expectations concerning the bank’s information-security decisions and activities.</w:t>
      </w:r>
    </w:p>
    <w:p>
      <w:pPr>
        <w:pStyle w:val="Heading2"/>
        <w:spacing w:before="180" w:after="80"/>
        <w:rPr/>
      </w:pPr>
      <w:r>
        <w:rPr/>
        <w:t>4.1 Interested parties</w:t>
      </w:r>
    </w:p>
    <w:tbl>
      <w:tblPr>
        <w:tblStyle w:val="TableGrid"/>
        <w:tblW w:w="960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01"/>
        <w:gridCol w:w="3201"/>
        <w:gridCol w:w="3201"/>
      </w:tblGrid>
      <w:tr>
        <w:trPr/>
        <w:tc>
          <w:tcPr>
            <w:tcW w:w="32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INTERESTED PARTY</w:t>
            </w:r>
          </w:p>
        </w:tc>
        <w:tc>
          <w:tcPr>
            <w:tcW w:w="32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INTEREST IN THE ISMS</w:t>
            </w:r>
          </w:p>
        </w:tc>
        <w:tc>
          <w:tcPr>
            <w:tcW w:w="3201"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INFLUENCE / EXPECTATION</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Board of Directors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bank reputation, shareholder interests and business continuity.</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influence; requires clear reporting on major cyber risks and performance.</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CEO and Executive Management</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Support strategic decisions, security investment and effective operations.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influence; requires periodic performance information and effective risk management.</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Information Technology and Information Security</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Operate and protect technology, systems, networks, data and security processes.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influence; requires clear responsibilities, resources and workable controls.</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Department Managers and Employees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information used in daily operations and report security events.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Operational influence; requires practical policies, awareness and reporting channels.</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Internal Audit</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Assess whether the ISMS is documented, effective and auditable.</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Independent assurance role; requires sufficient access to evidence.</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Compliance and Legal Affairs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Ensure regulatory and legal obligations are identified and addressed.</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compliance influence; requires evidence and documented compliance processes.</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Customers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personal and financial information and maintain secure digital banking availability.</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business impact; expects secure, reliable and responsive services.</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SAMA</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Supervise banking-sector cybersecurity and regulatory compliance.</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Very high regulatory influence; expects compliance, incident reporting, risk assessment and continuity.</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SDAIA</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Oversee requirements associated with personal-data protection.</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regulatory influence; expects appropriate protection and handling of personal information.</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National Cybersecurity Authority</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Provide national cybersecurity guidance and alerts.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security influence; expects relevant guidance and requirements to be addressed.</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AWS and Technology Suppliers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Provide cloud, development, security and technology services.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Third-party influence; requires defined security responsibilities and secure service delivery.</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Correspondent Banks and International Financial Institutions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Support cross-border transactions and require confidence in banking security.</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external dependency; expects secure financial transactions and appropriate controls.</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External Auditors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Perform independent compliance and certification assessments.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Assurance influence; requires controlled access to evidence and auditable ISMS documentation.</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Cyber Insurance Providers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Assess cyber risk and compliance for insurance purposes.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Commercial influence; requires accurate information about security posture.</w:t>
            </w:r>
          </w:p>
        </w:tc>
      </w:tr>
      <w:tr>
        <w:trPr/>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Shareholders and Investors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investment value and understand major cyber risks.</w:t>
            </w:r>
          </w:p>
        </w:tc>
        <w:tc>
          <w:tcPr>
            <w:tcW w:w="3201"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High governance interest; expects effective risk management and transparency for major incidents.</w:t>
            </w:r>
          </w:p>
        </w:tc>
      </w:tr>
    </w:tbl>
    <w:p>
      <w:pPr>
        <w:pStyle w:val="Heading2"/>
        <w:spacing w:before="180" w:after="80"/>
        <w:rPr/>
      </w:pPr>
      <w:r>
        <w:rPr/>
        <w:t>4.2 Requirements</w:t>
      </w:r>
    </w:p>
    <w:p>
      <w:pPr>
        <w:pStyle w:val="Normal"/>
        <w:spacing w:lineRule="auto" w:line="259" w:before="240" w:after="100"/>
        <w:rPr/>
      </w:pPr>
      <w:r>
        <w:rPr/>
        <w:t>The principal information-security requirements of interested parties are summarized below. The ISMS addresses these requirements through governance, risk management, security controls, incident management, continuity planning, monitoring and continual improvement.</w:t>
      </w:r>
    </w:p>
    <w:tbl>
      <w:tblPr>
        <w:tblStyle w:val="TableGrid"/>
        <w:tblW w:w="96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0"/>
        <w:gridCol w:w="2400"/>
        <w:gridCol w:w="2400"/>
        <w:gridCol w:w="2399"/>
      </w:tblGrid>
      <w:tr>
        <w:trPr/>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INTERESTED PARTY</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REF</w:t>
            </w:r>
          </w:p>
        </w:tc>
        <w:tc>
          <w:tcPr>
            <w:tcW w:w="2400"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REQUIREMENT SUMMARY</w:t>
            </w:r>
          </w:p>
        </w:tc>
        <w:tc>
          <w:tcPr>
            <w:tcW w:w="2399" w:type="dxa"/>
            <w:tcBorders/>
            <w:shd w:fill="0F9AA5"/>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color w:val="444444"/>
                <w:kern w:val="0"/>
                <w:sz w:val="17"/>
                <w:szCs w:val="24"/>
                <w:lang w:val="en-GB" w:eastAsia="en-US" w:bidi="ar-SA"/>
              </w:rPr>
              <w:t>REQUIREMENT ADDRESSED THROUGH THE ISMS?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Board of Directors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R1</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bank reputation, shareholder interests and business continuity.</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governance, risk reporting, incident management and continuity controls.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Executive Management</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R2</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Make informed security investment and operational decisions.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ISMS objectives, performance reporting and management review.</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Customers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R3</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personal and financial information.</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access control, encryption, privacy protection, monitoring and incident response.</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Customers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R4</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Maintain secure and continuously available digital banking services.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availability, continuity, backup, recovery and monitoring measures.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SAMA</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R5</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Comply with applicable banking cybersecurity requirements and report significant incidents.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regulatory compliance management, risk assessment, incident handling and audit evidence.</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SDAIA</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R6</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personal data and support applicable data-subject requirements.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privacy, retention, access and secure processing requirements.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National Cybersecurity Authority</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R7</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Address relevant national cybersecurity guidance and alerts.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threat information, risk management and security operations.</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Technology suppliers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R8</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Operate services according to defined security requirements and responsibilities.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supplier security requirements, contracts, monitoring and review.</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International financial institutions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R9</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cross-border financial transactions and maintain trusted connectivity.</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secure communications, access control, monitoring and incident response.</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Internal Audit and External Auditors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R10</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Maintain documented, auditable and independently reviewable ISMS arrangements.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documented processes, records, internal audit and management review.</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Employees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R11</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Understand security responsibilities and have clear reporting channels.</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awareness, training, acceptable-use requirements and incident reporting.</w:t>
            </w:r>
          </w:p>
        </w:tc>
      </w:tr>
      <w:tr>
        <w:trPr/>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Shareholders and Investors</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R12</w:t>
            </w:r>
          </w:p>
        </w:tc>
        <w:tc>
          <w:tcPr>
            <w:tcW w:w="2400"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Protect investment value through effective cyber-risk management.</w:t>
            </w:r>
          </w:p>
        </w:tc>
        <w:tc>
          <w:tcPr>
            <w:tcW w:w="2399" w:type="dxa"/>
            <w:tcBorders/>
            <w:vAlign w:val="center"/>
          </w:tcPr>
          <w:p>
            <w:pPr>
              <w:pStyle w:val="Normal"/>
              <w:widowControl/>
              <w:spacing w:before="240" w:after="0"/>
              <w:jc w:val="left"/>
              <w:rPr>
                <w:rFonts w:eastAsia="Times New Roman" w:cs="Times New Roman"/>
                <w:color w:val="444444"/>
                <w:kern w:val="0"/>
                <w:szCs w:val="24"/>
                <w:lang w:val="en-GB" w:eastAsia="en-US" w:bidi="ar-SA"/>
              </w:rPr>
            </w:pPr>
            <w:r>
              <w:rPr>
                <w:rFonts w:eastAsia="Times New Roman" w:cs="Times New Roman"/>
                <w:b w:val="false"/>
                <w:color w:val="444444"/>
                <w:kern w:val="0"/>
                <w:sz w:val="16"/>
                <w:szCs w:val="24"/>
                <w:lang w:val="en-GB" w:eastAsia="en-US" w:bidi="ar-SA"/>
              </w:rPr>
              <w:t>Yes, through risk treatment, continuity and governance reporting.</w:t>
            </w:r>
          </w:p>
        </w:tc>
      </w:tr>
    </w:tbl>
    <w:p>
      <w:pPr>
        <w:pStyle w:val="Heading1"/>
        <w:spacing w:before="180" w:after="80"/>
        <w:rPr/>
      </w:pPr>
      <w:r>
        <w:rPr/>
        <w:t>5 Purpose and scope of the ISMS</w:t>
      </w:r>
    </w:p>
    <w:p>
      <w:pPr>
        <w:pStyle w:val="Heading2"/>
        <w:spacing w:before="180" w:after="80"/>
        <w:rPr/>
      </w:pPr>
      <w:r>
        <w:rPr/>
        <w:t>5.1 Purpose</w:t>
      </w:r>
    </w:p>
    <w:p>
      <w:pPr>
        <w:pStyle w:val="ListNumber"/>
        <w:spacing w:before="240" w:after="60"/>
        <w:rPr/>
      </w:pPr>
      <w:r>
        <w:rPr/>
        <w:t>Understand the information-security needs of Al-Afaq Digital Bank and establish appropriate information-security policy and objectives.</w:t>
      </w:r>
    </w:p>
    <w:p>
      <w:pPr>
        <w:pStyle w:val="ListNumber"/>
        <w:spacing w:before="240" w:after="60"/>
        <w:rPr/>
      </w:pPr>
      <w:r>
        <w:rPr/>
        <w:t>Implement and operate controls for managing information-security risks and incidents affecting banking information and services.</w:t>
      </w:r>
    </w:p>
    <w:p>
      <w:pPr>
        <w:pStyle w:val="ListNumber"/>
        <w:spacing w:before="240" w:after="60"/>
        <w:rPr/>
      </w:pPr>
      <w:r>
        <w:rPr/>
        <w:t>Monitor and review the performance and effectiveness of the ISMS using objective evidence.</w:t>
      </w:r>
    </w:p>
    <w:p>
      <w:pPr>
        <w:pStyle w:val="ListNumber"/>
        <w:spacing w:before="240" w:after="60"/>
        <w:rPr/>
      </w:pPr>
      <w:r>
        <w:rPr/>
        <w:t>Continually improve information security through risk-based decisions, corrective actions, management review and lessons learned.</w:t>
      </w:r>
    </w:p>
    <w:p>
      <w:pPr>
        <w:pStyle w:val="Heading2"/>
        <w:spacing w:before="180" w:after="80"/>
        <w:rPr/>
      </w:pPr>
      <w:r>
        <w:rPr/>
        <w:t>5.2 Potential impact of an information security incident</w:t>
      </w:r>
    </w:p>
    <w:p>
      <w:pPr>
        <w:pStyle w:val="Normal"/>
        <w:spacing w:lineRule="auto" w:line="259" w:before="240" w:after="100"/>
        <w:rPr/>
      </w:pPr>
      <w:r>
        <w:rPr/>
        <w:t>Security incidents can affect the bank’s customers, operations, regulatory standing, financial performance and reputation. The case study demonstrates that a three-hour digital banking outage generated more than 5,000 customer complaints; a lost unencrypted laptop resulted in regulatory and customer-monitoring costs; and an expired SSL/TLS certificate caused significant reputational impact on social media.</w:t>
      </w:r>
    </w:p>
    <w:p>
      <w:pPr>
        <w:pStyle w:val="ListBullet"/>
        <w:spacing w:before="240" w:after="40"/>
        <w:ind w:left="360"/>
        <w:rPr/>
      </w:pPr>
      <w:r>
        <w:rPr/>
        <w:t>Loss of customer confidence and damage to the bank’s reputation.</w:t>
      </w:r>
    </w:p>
    <w:p>
      <w:pPr>
        <w:pStyle w:val="ListBullet"/>
        <w:spacing w:before="240" w:after="40"/>
        <w:ind w:left="360"/>
        <w:rPr/>
      </w:pPr>
      <w:r>
        <w:rPr/>
        <w:t>Interruption of mobile banking, online banking, payment and other critical services.</w:t>
      </w:r>
    </w:p>
    <w:p>
      <w:pPr>
        <w:pStyle w:val="ListBullet"/>
        <w:spacing w:before="240" w:after="40"/>
        <w:ind w:left="360"/>
        <w:rPr/>
      </w:pPr>
      <w:r>
        <w:rPr/>
        <w:t>Unauthorized disclosure or misuse of customer, employee or financial information.</w:t>
      </w:r>
    </w:p>
    <w:p>
      <w:pPr>
        <w:pStyle w:val="ListBullet"/>
        <w:spacing w:before="240" w:after="40"/>
        <w:ind w:left="360"/>
        <w:rPr/>
      </w:pPr>
      <w:r>
        <w:rPr/>
        <w:t>Financial losses, additional operating costs, fraud losses and regulatory penalties.</w:t>
      </w:r>
    </w:p>
    <w:p>
      <w:pPr>
        <w:pStyle w:val="ListBullet"/>
        <w:spacing w:before="240" w:after="40"/>
        <w:ind w:left="360"/>
        <w:rPr/>
      </w:pPr>
      <w:r>
        <w:rPr/>
        <w:t>Failure to meet legal, regulatory or contractual obligations.</w:t>
      </w:r>
    </w:p>
    <w:p>
      <w:pPr>
        <w:pStyle w:val="ListBullet"/>
        <w:spacing w:before="240" w:after="40"/>
        <w:ind w:left="360"/>
        <w:rPr/>
      </w:pPr>
      <w:r>
        <w:rPr/>
        <w:t>Disruption of international financial transfers and relationships with correspondent institutions.</w:t>
      </w:r>
    </w:p>
    <w:p>
      <w:pPr>
        <w:pStyle w:val="ListBullet"/>
        <w:spacing w:before="240" w:after="40"/>
        <w:ind w:left="360"/>
        <w:rPr/>
      </w:pPr>
      <w:r>
        <w:rPr/>
        <w:t>Loss of business opportunity and customer migration to competitors.</w:t>
      </w:r>
    </w:p>
    <w:p>
      <w:pPr>
        <w:pStyle w:val="ListBullet"/>
        <w:spacing w:before="240" w:after="40"/>
        <w:ind w:left="360"/>
        <w:rPr/>
      </w:pPr>
      <w:r>
        <w:rPr/>
        <w:t>Operational delays and increased workload caused by manual investigation and recovery activities.</w:t>
      </w:r>
    </w:p>
    <w:p>
      <w:pPr>
        <w:pStyle w:val="Heading2"/>
        <w:spacing w:before="180" w:after="80"/>
        <w:rPr/>
      </w:pPr>
      <w:r>
        <w:rPr/>
        <w:t>5.3 Information security objectives</w:t>
      </w:r>
    </w:p>
    <w:p>
      <w:pPr>
        <w:pStyle w:val="ListBullet"/>
        <w:spacing w:before="240" w:after="40"/>
        <w:ind w:left="360"/>
        <w:rPr/>
      </w:pPr>
      <w:r>
        <w:rPr/>
        <w:t>Protect customer personal, financial, biometric and digital-service information against unauthorized access, disclosure, alteration and loss.</w:t>
      </w:r>
    </w:p>
    <w:p>
      <w:pPr>
        <w:pStyle w:val="ListBullet"/>
        <w:spacing w:before="240" w:after="40"/>
        <w:ind w:left="360"/>
        <w:rPr/>
      </w:pPr>
      <w:r>
        <w:rPr/>
        <w:t>Maintain the confidentiality, integrity and availability of critical banking applications and supporting infrastructure.</w:t>
      </w:r>
    </w:p>
    <w:p>
      <w:pPr>
        <w:pStyle w:val="ListBullet"/>
        <w:spacing w:before="240" w:after="40"/>
        <w:ind w:left="360"/>
        <w:rPr/>
      </w:pPr>
      <w:r>
        <w:rPr/>
        <w:t>Improve compliance with applicable SAMA, SDAIA and other relevant legal, regulatory and contractual requirements.</w:t>
      </w:r>
    </w:p>
    <w:p>
      <w:pPr>
        <w:pStyle w:val="ListBullet"/>
        <w:spacing w:before="240" w:after="40"/>
        <w:ind w:left="360"/>
        <w:rPr/>
      </w:pPr>
      <w:r>
        <w:rPr/>
        <w:t>Reduce the likelihood and impact of phishing, ransomware, denial-of-service, insider, supply-chain and application-vulnerability threats.</w:t>
      </w:r>
    </w:p>
    <w:p>
      <w:pPr>
        <w:pStyle w:val="ListBullet"/>
        <w:spacing w:before="240" w:after="40"/>
        <w:ind w:left="360"/>
        <w:rPr/>
      </w:pPr>
      <w:r>
        <w:rPr/>
        <w:t>Improve vulnerability management and timely remediation of identified security weaknesses.</w:t>
      </w:r>
    </w:p>
    <w:p>
      <w:pPr>
        <w:pStyle w:val="ListBullet"/>
        <w:spacing w:before="240" w:after="40"/>
        <w:ind w:left="360"/>
        <w:rPr/>
      </w:pPr>
      <w:r>
        <w:rPr/>
        <w:t>Strengthen access management, privileged access control and periodic access review.</w:t>
      </w:r>
    </w:p>
    <w:p>
      <w:pPr>
        <w:pStyle w:val="ListBullet"/>
        <w:spacing w:before="240" w:after="40"/>
        <w:ind w:left="360"/>
        <w:rPr/>
      </w:pPr>
      <w:r>
        <w:rPr/>
        <w:t>Improve security monitoring, logging, time synchronization and incident detection and response.</w:t>
      </w:r>
    </w:p>
    <w:p>
      <w:pPr>
        <w:pStyle w:val="ListBullet"/>
        <w:spacing w:before="240" w:after="40"/>
        <w:ind w:left="360"/>
        <w:rPr/>
      </w:pPr>
      <w:r>
        <w:rPr/>
        <w:t>Protect information during development, testing, transfer, storage and disposal, including customer information used by third parties.</w:t>
      </w:r>
    </w:p>
    <w:p>
      <w:pPr>
        <w:pStyle w:val="ListBullet"/>
        <w:spacing w:before="240" w:after="40"/>
        <w:ind w:left="360"/>
        <w:rPr/>
      </w:pPr>
      <w:r>
        <w:rPr/>
        <w:t>Improve security awareness and reporting behaviour across all employee groups, using appropriate multilingual awareness materials.</w:t>
      </w:r>
    </w:p>
    <w:p>
      <w:pPr>
        <w:pStyle w:val="ListBullet"/>
        <w:spacing w:before="240" w:after="40"/>
        <w:ind w:left="360"/>
        <w:rPr/>
      </w:pPr>
      <w:r>
        <w:rPr/>
        <w:t>Maintain and test effective business continuity and disaster recovery arrangements for critical banking services.</w:t>
      </w:r>
    </w:p>
    <w:p>
      <w:pPr>
        <w:pStyle w:val="ListBullet"/>
        <w:spacing w:before="240" w:after="40"/>
        <w:ind w:left="360"/>
        <w:rPr/>
      </w:pPr>
      <w:r>
        <w:rPr/>
        <w:t>Provide management with periodic, evidence-based information about ISMS performance and security risk.</w:t>
      </w:r>
    </w:p>
    <w:p>
      <w:pPr>
        <w:pStyle w:val="Heading2"/>
        <w:spacing w:before="180" w:after="80"/>
        <w:rPr/>
      </w:pPr>
      <w:r>
        <w:rPr/>
        <w:t>5.4 Scope of the ISMS</w:t>
      </w:r>
    </w:p>
    <w:p>
      <w:pPr>
        <w:pStyle w:val="Normal"/>
        <w:spacing w:lineRule="auto" w:line="259" w:before="240" w:after="100"/>
        <w:rPr/>
      </w:pPr>
      <w:r>
        <w:rPr/>
        <w:t>The scope of the ISMS covers the people, processes, information, technology, physical locations and third-party relationships required to deliver and protect the bank’s critical banking and digital services. It is based on the internal and external issues, interested-party requirements and regulatory context identified in this document.</w:t>
      </w:r>
    </w:p>
    <w:p>
      <w:pPr>
        <w:pStyle w:val="Heading3"/>
        <w:spacing w:before="180" w:after="80"/>
        <w:rPr/>
      </w:pPr>
      <w:r>
        <w:rPr/>
        <w:t>5.4.1 Organizational</w:t>
      </w:r>
    </w:p>
    <w:p>
      <w:pPr>
        <w:pStyle w:val="ListBullet"/>
        <w:spacing w:before="240" w:after="40"/>
        <w:ind w:left="360"/>
        <w:rPr/>
      </w:pPr>
      <w:r>
        <w:rPr/>
        <w:t>Board and executive management activities relevant to information-security governance and decision-making.</w:t>
      </w:r>
    </w:p>
    <w:p>
      <w:pPr>
        <w:pStyle w:val="ListBullet"/>
        <w:spacing w:before="240" w:after="40"/>
        <w:ind w:left="360"/>
        <w:rPr/>
      </w:pPr>
      <w:r>
        <w:rPr/>
        <w:t>Enterprise risk management, compliance and governance, legal affairs and internal audit activities relevant to ISMS assurance and compliance.</w:t>
      </w:r>
    </w:p>
    <w:p>
      <w:pPr>
        <w:pStyle w:val="ListBullet"/>
        <w:spacing w:before="240" w:after="40"/>
        <w:ind w:left="360"/>
        <w:rPr/>
      </w:pPr>
      <w:r>
        <w:rPr/>
        <w:t>Information Technology and all supporting infrastructure, networks, applications, databases and technical support functions.</w:t>
      </w:r>
    </w:p>
    <w:p>
      <w:pPr>
        <w:pStyle w:val="ListBullet"/>
        <w:spacing w:before="240" w:after="40"/>
        <w:ind w:left="360"/>
        <w:rPr/>
      </w:pPr>
      <w:r>
        <w:rPr/>
        <w:t>Information Security, including governance, SOC, incident response, risk and vulnerability assessment.</w:t>
      </w:r>
    </w:p>
    <w:p>
      <w:pPr>
        <w:pStyle w:val="ListBullet"/>
        <w:spacing w:before="240" w:after="40"/>
        <w:ind w:left="360"/>
        <w:rPr/>
      </w:pPr>
      <w:r>
        <w:rPr/>
        <w:t>Banking operations, retail banking, corporate banking, treasury and investment, international banking operations and customer experience functions where they process or depend on information within scope.</w:t>
      </w:r>
    </w:p>
    <w:p>
      <w:pPr>
        <w:pStyle w:val="ListBullet"/>
        <w:spacing w:before="240" w:after="40"/>
        <w:ind w:left="360"/>
        <w:rPr/>
      </w:pPr>
      <w:r>
        <w:rPr/>
        <w:t>Human Resources and payroll activities involving employee information.</w:t>
      </w:r>
    </w:p>
    <w:p>
      <w:pPr>
        <w:pStyle w:val="ListBullet"/>
        <w:spacing w:before="240" w:after="40"/>
        <w:ind w:left="360"/>
        <w:rPr/>
      </w:pPr>
      <w:r>
        <w:rPr/>
        <w:t>Finance and accounting activities involving financial information.</w:t>
      </w:r>
    </w:p>
    <w:p>
      <w:pPr>
        <w:pStyle w:val="ListBullet"/>
        <w:spacing w:before="240" w:after="40"/>
        <w:ind w:left="360"/>
        <w:rPr/>
      </w:pPr>
      <w:r>
        <w:rPr/>
        <w:t>Procurement and contracts where supplier relationships affect information security.</w:t>
      </w:r>
    </w:p>
    <w:p>
      <w:pPr>
        <w:pStyle w:val="ListBullet"/>
        <w:spacing w:before="240" w:after="40"/>
        <w:ind w:left="360"/>
        <w:rPr/>
      </w:pPr>
      <w:r>
        <w:rPr/>
        <w:t>Riyadh headquarters and main data centre, Jeddah disaster recovery centre, the 25 branches and the approximately 75 standalone ATMs supporting in-scope banking services.</w:t>
      </w:r>
    </w:p>
    <w:p>
      <w:pPr>
        <w:pStyle w:val="ListBullet"/>
        <w:spacing w:before="240" w:after="40"/>
        <w:ind w:left="360"/>
        <w:rPr/>
      </w:pPr>
      <w:r>
        <w:rPr/>
        <w:t>In-scope third parties including AWS, the mobile application development company, telecommunications providers, cybersecurity consultants, ATM maintenance services and cash and security services.</w:t>
      </w:r>
    </w:p>
    <w:p>
      <w:pPr>
        <w:pStyle w:val="Heading3"/>
        <w:spacing w:before="180" w:after="80"/>
        <w:rPr/>
      </w:pPr>
      <w:r>
        <w:rPr/>
        <w:t>5.4.2 Products and services</w:t>
      </w:r>
    </w:p>
    <w:p>
      <w:pPr>
        <w:pStyle w:val="ListBullet"/>
        <w:spacing w:before="240" w:after="40"/>
        <w:ind w:left="360"/>
        <w:rPr/>
      </w:pPr>
      <w:r>
        <w:rPr/>
        <w:t>Afaq Plus mobile banking.</w:t>
      </w:r>
    </w:p>
    <w:p>
      <w:pPr>
        <w:pStyle w:val="ListBullet"/>
        <w:spacing w:before="240" w:after="40"/>
        <w:ind w:left="360"/>
        <w:rPr/>
      </w:pPr>
      <w:r>
        <w:rPr/>
        <w:t>Afaq Net online banking.</w:t>
      </w:r>
    </w:p>
    <w:p>
      <w:pPr>
        <w:pStyle w:val="ListBullet"/>
        <w:spacing w:before="240" w:after="40"/>
        <w:ind w:left="360"/>
        <w:rPr/>
      </w:pPr>
      <w:r>
        <w:rPr/>
        <w:t>Core Banking System services.</w:t>
      </w:r>
    </w:p>
    <w:p>
      <w:pPr>
        <w:pStyle w:val="ListBullet"/>
        <w:spacing w:before="240" w:after="40"/>
        <w:ind w:left="360"/>
        <w:rPr/>
      </w:pPr>
      <w:r>
        <w:rPr/>
        <w:t>Card management and card transaction services.</w:t>
      </w:r>
    </w:p>
    <w:p>
      <w:pPr>
        <w:pStyle w:val="ListBullet"/>
        <w:spacing w:before="240" w:after="40"/>
        <w:ind w:left="360"/>
        <w:rPr/>
      </w:pPr>
      <w:r>
        <w:rPr/>
        <w:t>Instant payment services connected to the national payments network.</w:t>
      </w:r>
    </w:p>
    <w:p>
      <w:pPr>
        <w:pStyle w:val="ListBullet"/>
        <w:spacing w:before="240" w:after="40"/>
        <w:ind w:left="360"/>
        <w:rPr/>
      </w:pPr>
      <w:r>
        <w:rPr/>
        <w:t>Retail and corporate banking services delivered through branches and digital channels.</w:t>
      </w:r>
    </w:p>
    <w:p>
      <w:pPr>
        <w:pStyle w:val="ListBullet"/>
        <w:spacing w:before="240" w:after="40"/>
        <w:ind w:left="360"/>
        <w:rPr/>
      </w:pPr>
      <w:r>
        <w:rPr/>
        <w:t>Treasury and investment services.</w:t>
      </w:r>
    </w:p>
    <w:p>
      <w:pPr>
        <w:pStyle w:val="ListBullet"/>
        <w:spacing w:before="240" w:after="40"/>
        <w:ind w:left="360"/>
        <w:rPr/>
      </w:pPr>
      <w:r>
        <w:rPr/>
        <w:t>International banking and financial transfer services.</w:t>
      </w:r>
    </w:p>
    <w:p>
      <w:pPr>
        <w:pStyle w:val="ListBullet"/>
        <w:spacing w:before="240" w:after="40"/>
        <w:ind w:left="360"/>
        <w:rPr/>
      </w:pPr>
      <w:r>
        <w:rPr/>
        <w:t>Customer service and fraud detection services.</w:t>
      </w:r>
    </w:p>
    <w:p>
      <w:pPr>
        <w:pStyle w:val="Heading3"/>
        <w:spacing w:before="180" w:after="80"/>
        <w:rPr/>
      </w:pPr>
      <w:r>
        <w:rPr/>
        <w:t>5.4.3 Activities</w:t>
      </w:r>
    </w:p>
    <w:p>
      <w:pPr>
        <w:pStyle w:val="ListBullet"/>
        <w:spacing w:before="240" w:after="40"/>
        <w:ind w:left="360"/>
        <w:rPr/>
      </w:pPr>
      <w:r>
        <w:rPr/>
        <w:t>Customer account management, deposits, lending and customer relationship management.</w:t>
      </w:r>
    </w:p>
    <w:p>
      <w:pPr>
        <w:pStyle w:val="ListBullet"/>
        <w:spacing w:before="240" w:after="40"/>
        <w:ind w:left="360"/>
        <w:rPr/>
      </w:pPr>
      <w:r>
        <w:rPr/>
        <w:t>Processing of card and instant payment transactions.</w:t>
      </w:r>
    </w:p>
    <w:p>
      <w:pPr>
        <w:pStyle w:val="ListBullet"/>
        <w:spacing w:before="240" w:after="40"/>
        <w:ind w:left="360"/>
        <w:rPr/>
      </w:pPr>
      <w:r>
        <w:rPr/>
        <w:t>Digital banking service delivery and customer support.</w:t>
      </w:r>
    </w:p>
    <w:p>
      <w:pPr>
        <w:pStyle w:val="ListBullet"/>
        <w:spacing w:before="240" w:after="40"/>
        <w:ind w:left="360"/>
        <w:rPr/>
      </w:pPr>
      <w:r>
        <w:rPr/>
        <w:t>Treasury, investment and international banking operations.</w:t>
      </w:r>
    </w:p>
    <w:p>
      <w:pPr>
        <w:pStyle w:val="ListBullet"/>
        <w:spacing w:before="240" w:after="40"/>
        <w:ind w:left="360"/>
        <w:rPr/>
      </w:pPr>
      <w:r>
        <w:rPr/>
        <w:t>Development, testing, staging, deployment and support of banking applications.</w:t>
      </w:r>
    </w:p>
    <w:p>
      <w:pPr>
        <w:pStyle w:val="ListBullet"/>
        <w:spacing w:before="240" w:after="40"/>
        <w:ind w:left="360"/>
        <w:rPr/>
      </w:pPr>
      <w:r>
        <w:rPr/>
        <w:t>Operation and protection of networks, servers, databases, endpoints and security systems.</w:t>
      </w:r>
    </w:p>
    <w:p>
      <w:pPr>
        <w:pStyle w:val="ListBullet"/>
        <w:spacing w:before="240" w:after="40"/>
        <w:ind w:left="360"/>
        <w:rPr/>
      </w:pPr>
      <w:r>
        <w:rPr/>
        <w:t>Identity and access management, privileged access administration and security monitoring.</w:t>
      </w:r>
    </w:p>
    <w:p>
      <w:pPr>
        <w:pStyle w:val="ListBullet"/>
        <w:spacing w:before="240" w:after="40"/>
        <w:ind w:left="360"/>
        <w:rPr/>
      </w:pPr>
      <w:r>
        <w:rPr/>
        <w:t>Vulnerability assessment, remediation, incident response and security operations.</w:t>
      </w:r>
    </w:p>
    <w:p>
      <w:pPr>
        <w:pStyle w:val="ListBullet"/>
        <w:spacing w:before="240" w:after="40"/>
        <w:ind w:left="360"/>
        <w:rPr/>
      </w:pPr>
      <w:r>
        <w:rPr/>
        <w:t>Backup, disaster recovery and continuity activities for critical technology services.</w:t>
      </w:r>
    </w:p>
    <w:p>
      <w:pPr>
        <w:pStyle w:val="ListBullet"/>
        <w:spacing w:before="240" w:after="40"/>
        <w:ind w:left="360"/>
        <w:rPr/>
      </w:pPr>
      <w:r>
        <w:rPr/>
        <w:t>Processing and protection of customer, employee, financial, regulatory and technical information.</w:t>
      </w:r>
    </w:p>
    <w:p>
      <w:pPr>
        <w:pStyle w:val="ListBullet"/>
        <w:spacing w:before="240" w:after="40"/>
        <w:ind w:left="360"/>
        <w:rPr/>
      </w:pPr>
      <w:r>
        <w:rPr/>
        <w:t>Supplier and third-party security management for in-scope services.</w:t>
      </w:r>
    </w:p>
    <w:p>
      <w:pPr>
        <w:pStyle w:val="Heading3"/>
        <w:spacing w:before="180" w:after="80"/>
        <w:rPr/>
      </w:pPr>
      <w:r>
        <w:rPr/>
        <w:t>5.4.4 Exclusions</w:t>
      </w:r>
    </w:p>
    <w:p>
      <w:pPr>
        <w:pStyle w:val="Normal"/>
        <w:spacing w:lineRule="auto" w:line="259" w:before="240" w:after="100"/>
        <w:rPr/>
      </w:pPr>
      <w:r>
        <w:rPr/>
        <w:t>The following limited areas are excluded from the initial ISMS scope because the case study identifies them as lower sensitivity, provided that they do not process or support in-scope information or critical services:</w:t>
      </w:r>
    </w:p>
    <w:p>
      <w:pPr>
        <w:pStyle w:val="ListBullet"/>
        <w:spacing w:before="240" w:after="40"/>
        <w:ind w:left="360"/>
        <w:rPr/>
      </w:pPr>
      <w:r>
        <w:rPr/>
        <w:t>General facilities and general services activities that do not operate physical access-control, surveillance or other security-relevant systems.</w:t>
      </w:r>
    </w:p>
    <w:p>
      <w:pPr>
        <w:pStyle w:val="ListBullet"/>
        <w:spacing w:before="240" w:after="40"/>
        <w:ind w:left="360"/>
        <w:rPr/>
      </w:pPr>
      <w:r>
        <w:rPr/>
        <w:t>Selected marketing activities that do not process customer information used for campaigns or support in-scope banking services.</w:t>
      </w:r>
    </w:p>
    <w:p>
      <w:pPr>
        <w:pStyle w:val="Normal"/>
        <w:spacing w:lineRule="auto" w:line="259" w:before="240" w:after="100"/>
        <w:rPr/>
      </w:pPr>
      <w:r>
        <w:rPr/>
        <w:t>Physical access-control and surveillance systems remain within scope because they protect bank premises and critical information assets. Customer information handled by marketing remains within scope regardless of the organizational location of the activity.</w:t>
      </w:r>
    </w:p>
    <w:p>
      <w:pPr>
        <w:pStyle w:val="Heading1"/>
        <w:spacing w:before="180" w:after="80"/>
        <w:rPr/>
      </w:pPr>
      <w:r>
        <w:rPr/>
        <w:t>Document conclusion</w:t>
      </w:r>
    </w:p>
    <w:p>
      <w:pPr>
        <w:pStyle w:val="Normal"/>
        <w:spacing w:lineRule="auto" w:line="259" w:before="240" w:after="100"/>
        <w:rPr/>
      </w:pPr>
      <w:r>
        <w:rPr/>
        <w:t>This document establishes a practical and risk-based context and scope for the Al-Afaq Digital Bank ISMS. It connects the bank’s operating environment, internal weaknesses, external threats, interested-party expectations, regulatory requirements and critical services to a defined ISO/IEC 27001:2022 scope. The resulting scope is intended to support the subsequent risk assessment, Statement of Applicability, control implementation, internal audit and management review activities of the academic project.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52" w:right="1152" w:gutter="0" w:header="708" w:top="1008" w:footer="708" w:bottom="100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Internal | Al-Afaq Digital Bank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sz w:val="16"/>
      </w:rPr>
      <w:t>Information Security Context, Requirements and Scope | Internal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2566"/>
        </w:tabs>
        <w:ind w:left="2566" w:hanging="864"/>
      </w:pPr>
      <w:rPr>
        <w:smallCaps w:val="false"/>
        <w:caps w:val="false"/>
        <w:outline w:val="false"/>
        <w:dstrike w:val="false"/>
        <w:strike w:val="false"/>
        <w:vertAlign w:val="baseline"/>
        <w:position w:val="0"/>
        <w:sz w:val="24"/>
        <w:spacing w:val="0"/>
        <w:i w:val="false"/>
        <w:shadow w:val="false"/>
        <w:u w:val="none"/>
        <w:b w:val="false"/>
        <w:kern w:val="0"/>
        <w:effect w:val="none"/>
        <w:iCs w:val="false"/>
        <w:bCs w:val="false"/>
        <w:em w:val="none"/>
        <w:emboss w:val="false"/>
        <w:imprint w:val="false"/>
        <w:vanish w:val="false"/>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asciiTheme="minorHAnsi" w:hAnsiTheme="minorHAnsi"/>
        <w:color w:val="444444"/>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4"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4"/>
    <w:qFormat/>
    <w:rsid w:val="003b3acf"/>
    <w:pPr>
      <w:widowControl/>
      <w:bidi w:val="0"/>
      <w:spacing w:lineRule="auto" w:line="240" w:before="240" w:after="240"/>
      <w:jc w:val="left"/>
    </w:pPr>
    <w:rPr>
      <w:rFonts w:ascii="Arial" w:hAnsi="Arial" w:eastAsia="Times New Roman" w:cs="Times New Roman"/>
      <w:b w:val="false"/>
      <w:color w:val="444444"/>
      <w:kern w:val="0"/>
      <w:sz w:val="21"/>
      <w:szCs w:val="24"/>
      <w:lang w:val="en-GB" w:eastAsia="en-US" w:bidi="ar-SA"/>
    </w:rPr>
  </w:style>
  <w:style w:type="paragraph" w:styleId="Heading1">
    <w:name w:val="Heading 1"/>
    <w:basedOn w:val="Normal"/>
    <w:next w:val="Heading2"/>
    <w:link w:val="Heading1Char"/>
    <w:autoRedefine/>
    <w:qFormat/>
    <w:rsid w:val="003b3acf"/>
    <w:pPr>
      <w:keepNext w:val="true"/>
      <w:outlineLvl w:val="0"/>
    </w:pPr>
    <w:rPr>
      <w:rFonts w:ascii="Arial" w:hAnsi="Arial" w:eastAsia="" w:cs="" w:cstheme="majorBidi" w:eastAsiaTheme="majorEastAsia"/>
      <w:b/>
      <w:color w:themeColor="text2" w:val="009BA4"/>
      <w:kern w:val="2"/>
      <w:sz w:val="32"/>
    </w:rPr>
  </w:style>
  <w:style w:type="paragraph" w:styleId="Heading2">
    <w:name w:val="Heading 2"/>
    <w:basedOn w:val="Normal"/>
    <w:next w:val="Heading3"/>
    <w:link w:val="Heading2Char"/>
    <w:autoRedefine/>
    <w:uiPriority w:val="1"/>
    <w:qFormat/>
    <w:rsid w:val="003b3acf"/>
    <w:pPr>
      <w:keepNext w:val="true"/>
      <w:outlineLvl w:val="1"/>
    </w:pPr>
    <w:rPr>
      <w:rFonts w:ascii="Arial" w:hAnsi="Arial" w:eastAsia="" w:cs="" w:cstheme="majorBidi" w:eastAsiaTheme="majorEastAsia"/>
      <w:b/>
      <w:color w:themeColor="text2" w:val="009BA4"/>
      <w:sz w:val="26"/>
    </w:rPr>
  </w:style>
  <w:style w:type="paragraph" w:styleId="Heading3">
    <w:name w:val="Heading 3"/>
    <w:basedOn w:val="Normal"/>
    <w:next w:val="Normal"/>
    <w:link w:val="Heading3Char"/>
    <w:autoRedefine/>
    <w:uiPriority w:val="2"/>
    <w:qFormat/>
    <w:rsid w:val="003b3acf"/>
    <w:pPr>
      <w:tabs>
        <w:tab w:val="clear" w:pos="720"/>
        <w:tab w:val="left" w:pos="1134" w:leader="none"/>
      </w:tabs>
      <w:outlineLvl w:val="2"/>
    </w:pPr>
    <w:rPr>
      <w:rFonts w:ascii="Arial" w:hAnsi="Arial" w:eastAsia="" w:cs="" w:cstheme="majorBidi" w:eastAsiaTheme="majorEastAsia"/>
      <w:b/>
      <w:color w:themeColor="text2" w:val="009BA4"/>
      <w:sz w:val="23"/>
    </w:rPr>
  </w:style>
  <w:style w:type="paragraph" w:styleId="Heading4">
    <w:name w:val="Heading 4"/>
    <w:basedOn w:val="Heading3"/>
    <w:next w:val="Normal"/>
    <w:link w:val="Heading4Char"/>
    <w:uiPriority w:val="3"/>
    <w:qFormat/>
    <w:rsid w:val="003b3acf"/>
    <w:pPr>
      <w:keepNext w:val="true"/>
      <w:keepLines/>
      <w:numPr>
        <w:ilvl w:val="3"/>
        <w:numId w:val="1"/>
      </w:numPr>
      <w:ind w:hanging="992" w:left="992"/>
      <w:outlineLvl w:val="3"/>
    </w:pPr>
    <w:rPr>
      <w:rFonts w:cs="Calibri" w:cstheme="minorHAnsi"/>
    </w:rPr>
  </w:style>
  <w:style w:type="paragraph" w:styleId="Heading5">
    <w:name w:val="Heading 5"/>
    <w:basedOn w:val="Normal"/>
    <w:next w:val="Normal"/>
    <w:link w:val="Heading5Char"/>
    <w:uiPriority w:val="9"/>
    <w:unhideWhenUsed/>
    <w:qFormat/>
    <w:rsid w:val="003d4c4a"/>
    <w:pPr>
      <w:pBdr>
        <w:bottom w:val="single" w:sz="6" w:space="1" w:color="009BA4" w:themeColor="accent1"/>
      </w:pBdr>
      <w:spacing w:before="200" w:after="0"/>
      <w:outlineLvl w:val="4"/>
    </w:pPr>
    <w:rPr>
      <w:caps/>
      <w:color w:themeColor="accent1" w:themeShade="bf" w:val="00737A"/>
      <w:spacing w:val="10"/>
    </w:rPr>
  </w:style>
  <w:style w:type="paragraph" w:styleId="Heading6">
    <w:name w:val="Heading 6"/>
    <w:basedOn w:val="Normal"/>
    <w:next w:val="Normal"/>
    <w:link w:val="Heading6Char"/>
    <w:uiPriority w:val="9"/>
    <w:semiHidden/>
    <w:unhideWhenUsed/>
    <w:qFormat/>
    <w:rsid w:val="003d4c4a"/>
    <w:pPr>
      <w:pBdr>
        <w:bottom w:val="dotted" w:sz="6" w:space="1" w:color="009BA4" w:themeColor="accent1"/>
      </w:pBdr>
      <w:spacing w:before="200" w:after="0"/>
      <w:outlineLvl w:val="5"/>
    </w:pPr>
    <w:rPr>
      <w:caps/>
      <w:color w:themeColor="accent1" w:themeShade="bf" w:val="00737A"/>
      <w:spacing w:val="10"/>
    </w:rPr>
  </w:style>
  <w:style w:type="paragraph" w:styleId="Heading7">
    <w:name w:val="Heading 7"/>
    <w:basedOn w:val="Normal"/>
    <w:next w:val="Normal"/>
    <w:link w:val="Heading7Char"/>
    <w:uiPriority w:val="9"/>
    <w:semiHidden/>
    <w:unhideWhenUsed/>
    <w:qFormat/>
    <w:rsid w:val="003b3acf"/>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004D51"/>
    </w:rPr>
  </w:style>
  <w:style w:type="paragraph" w:styleId="Heading8">
    <w:name w:val="Heading 8"/>
    <w:basedOn w:val="Normal"/>
    <w:next w:val="Normal"/>
    <w:link w:val="Heading8Char"/>
    <w:uiPriority w:val="9"/>
    <w:semiHidden/>
    <w:unhideWhenUsed/>
    <w:qFormat/>
    <w:rsid w:val="003b3acf"/>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606060"/>
      <w:sz w:val="21"/>
      <w:szCs w:val="21"/>
    </w:rPr>
  </w:style>
  <w:style w:type="paragraph" w:styleId="Heading9">
    <w:name w:val="Heading 9"/>
    <w:basedOn w:val="Normal"/>
    <w:next w:val="Normal"/>
    <w:link w:val="Heading9Char"/>
    <w:uiPriority w:val="9"/>
    <w:semiHidden/>
    <w:unhideWhenUsed/>
    <w:qFormat/>
    <w:rsid w:val="003b3acf"/>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3b3acf"/>
    <w:rPr>
      <w:rFonts w:eastAsia="" w:cs="" w:cstheme="majorBidi" w:eastAsiaTheme="majorEastAsia"/>
      <w:color w:themeColor="text2" w:val="009BA4"/>
      <w:kern w:val="2"/>
      <w:sz w:val="36"/>
    </w:rPr>
  </w:style>
  <w:style w:type="character" w:styleId="Heading2Char" w:customStyle="1">
    <w:name w:val="Heading 2 Char"/>
    <w:basedOn w:val="DefaultParagraphFont"/>
    <w:link w:val="Heading2"/>
    <w:uiPriority w:val="1"/>
    <w:qFormat/>
    <w:rsid w:val="003b3acf"/>
    <w:rPr>
      <w:rFonts w:eastAsia="" w:cs="" w:cstheme="majorBidi" w:eastAsiaTheme="majorEastAsia"/>
      <w:color w:themeColor="text2" w:val="009BA4"/>
      <w:sz w:val="32"/>
    </w:rPr>
  </w:style>
  <w:style w:type="character" w:styleId="Heading3Char" w:customStyle="1">
    <w:name w:val="Heading 3 Char"/>
    <w:basedOn w:val="DefaultParagraphFont"/>
    <w:link w:val="Heading3"/>
    <w:uiPriority w:val="2"/>
    <w:qFormat/>
    <w:rsid w:val="003b3acf"/>
    <w:rPr>
      <w:rFonts w:eastAsia="" w:cs="" w:cstheme="majorBidi" w:eastAsiaTheme="majorEastAsia"/>
      <w:color w:themeColor="text2" w:val="009BA4"/>
      <w:sz w:val="28"/>
    </w:rPr>
  </w:style>
  <w:style w:type="character" w:styleId="BulletedlistChar" w:customStyle="1">
    <w:name w:val="Bulleted list Char"/>
    <w:basedOn w:val="DefaultParagraphFont"/>
    <w:link w:val="Bulletedlist"/>
    <w:uiPriority w:val="5"/>
    <w:qFormat/>
    <w:rsid w:val="00674188"/>
    <w:rPr/>
  </w:style>
  <w:style w:type="character" w:styleId="BulletedlistheaderChar" w:customStyle="1">
    <w:name w:val="Bulleted list header Char"/>
    <w:basedOn w:val="DefaultParagraphFont"/>
    <w:link w:val="Bulletedlistheader"/>
    <w:uiPriority w:val="24"/>
    <w:qFormat/>
    <w:rsid w:val="00427115"/>
    <w:rPr>
      <w:rFonts w:cs="Calibri" w:cstheme="minorHAnsi"/>
      <w:b/>
      <w:iCs/>
      <w:color w:val="000000"/>
    </w:rPr>
  </w:style>
  <w:style w:type="character" w:styleId="HeaderChar" w:customStyle="1">
    <w:name w:val="Header Char"/>
    <w:basedOn w:val="DefaultParagraphFont"/>
    <w:link w:val="Header"/>
    <w:uiPriority w:val="99"/>
    <w:qFormat/>
    <w:rsid w:val="002908a1"/>
    <w:rPr>
      <w:rFonts w:cs="Times New Roman"/>
      <w:color w:val="444444"/>
      <w:sz w:val="24"/>
      <w:szCs w:val="20"/>
    </w:rPr>
  </w:style>
  <w:style w:type="character" w:styleId="FooterChar" w:customStyle="1">
    <w:name w:val="Footer Char"/>
    <w:basedOn w:val="DefaultParagraphFont"/>
    <w:link w:val="Footer"/>
    <w:uiPriority w:val="99"/>
    <w:qFormat/>
    <w:rsid w:val="002908a1"/>
    <w:rPr>
      <w:rFonts w:cs="Times New Roman"/>
      <w:color w:val="444444"/>
      <w:sz w:val="24"/>
      <w:szCs w:val="20"/>
    </w:rPr>
  </w:style>
  <w:style w:type="character" w:styleId="Hyperlink">
    <w:name w:val="Hyperlink"/>
    <w:basedOn w:val="DefaultParagraphFont"/>
    <w:uiPriority w:val="99"/>
    <w:unhideWhenUsed/>
    <w:rsid w:val="002908a1"/>
    <w:rPr>
      <w:color w:themeColor="hyperlink" w:val="0563C1"/>
      <w:u w:val="single"/>
    </w:rPr>
  </w:style>
  <w:style w:type="character" w:styleId="Strong">
    <w:name w:val="Strong"/>
    <w:uiPriority w:val="22"/>
    <w:qFormat/>
    <w:rsid w:val="003d4c4a"/>
    <w:rPr>
      <w:b/>
      <w:bCs/>
    </w:rPr>
  </w:style>
  <w:style w:type="character" w:styleId="BalloonTextChar" w:customStyle="1">
    <w:name w:val="Balloon Text Char"/>
    <w:basedOn w:val="DefaultParagraphFont"/>
    <w:link w:val="BalloonText"/>
    <w:uiPriority w:val="99"/>
    <w:semiHidden/>
    <w:qFormat/>
    <w:rsid w:val="002908a1"/>
    <w:rPr>
      <w:rFonts w:ascii="Segoe UI" w:hAnsi="Segoe UI" w:cs="Segoe UI"/>
      <w:color w:val="444444"/>
      <w:sz w:val="18"/>
      <w:szCs w:val="18"/>
    </w:rPr>
  </w:style>
  <w:style w:type="character" w:styleId="UnresolvedMention">
    <w:name w:val="Unresolved Mention"/>
    <w:basedOn w:val="DefaultParagraphFont"/>
    <w:uiPriority w:val="99"/>
    <w:semiHidden/>
    <w:unhideWhenUsed/>
    <w:qFormat/>
    <w:rsid w:val="005e23f7"/>
    <w:rPr>
      <w:color w:val="605E5C"/>
      <w:shd w:fill="E1DFDD" w:val="clear"/>
    </w:rPr>
  </w:style>
  <w:style w:type="character" w:styleId="FollowedHyperlink">
    <w:name w:val="FollowedHyperlink"/>
    <w:basedOn w:val="DefaultParagraphFont"/>
    <w:uiPriority w:val="99"/>
    <w:semiHidden/>
    <w:unhideWhenUsed/>
    <w:rsid w:val="005e23f7"/>
    <w:rPr>
      <w:color w:themeColor="followedHyperlink" w:val="954F72"/>
      <w:u w:val="single"/>
    </w:rPr>
  </w:style>
  <w:style w:type="character" w:styleId="TableBodyChar" w:customStyle="1">
    <w:name w:val="Table Body Char"/>
    <w:basedOn w:val="DefaultParagraphFont"/>
    <w:link w:val="TableBody"/>
    <w:uiPriority w:val="7"/>
    <w:qFormat/>
    <w:rsid w:val="003b3acf"/>
    <w:rPr>
      <w:color w:themeColor="text1" w:val="444444"/>
      <w:sz w:val="20"/>
    </w:rPr>
  </w:style>
  <w:style w:type="character" w:styleId="TableHeadingChar" w:customStyle="1">
    <w:name w:val="Table Heading Char"/>
    <w:basedOn w:val="TableBodyChar"/>
    <w:link w:val="TableHeading"/>
    <w:uiPriority w:val="6"/>
    <w:qFormat/>
    <w:rsid w:val="003b3acf"/>
    <w:rPr>
      <w:b/>
      <w:bCs/>
      <w:color w:themeColor="background1" w:val="FFFFFF"/>
      <w:sz w:val="20"/>
    </w:rPr>
  </w:style>
  <w:style w:type="character" w:styleId="Heading4Char" w:customStyle="1">
    <w:name w:val="Heading 4 Char"/>
    <w:basedOn w:val="DefaultParagraphFont"/>
    <w:link w:val="Heading4"/>
    <w:uiPriority w:val="3"/>
    <w:qFormat/>
    <w:rsid w:val="003b3acf"/>
    <w:rPr>
      <w:rFonts w:eastAsia="" w:cs="Calibri" w:cstheme="minorHAnsi" w:eastAsiaTheme="majorEastAsia"/>
      <w:color w:themeColor="text2" w:val="009BA4"/>
      <w:sz w:val="28"/>
    </w:rPr>
  </w:style>
  <w:style w:type="character" w:styleId="PlaceholderText">
    <w:name w:val="Placeholder Text"/>
    <w:basedOn w:val="DefaultParagraphFont"/>
    <w:uiPriority w:val="99"/>
    <w:semiHidden/>
    <w:qFormat/>
    <w:rsid w:val="00c76662"/>
    <w:rPr>
      <w:color w:val="808080"/>
    </w:rPr>
  </w:style>
  <w:style w:type="character" w:styleId="Heading5Char" w:customStyle="1">
    <w:name w:val="Heading 5 Char"/>
    <w:basedOn w:val="DefaultParagraphFont"/>
    <w:link w:val="Heading5"/>
    <w:uiPriority w:val="9"/>
    <w:qFormat/>
    <w:rsid w:val="003d4c4a"/>
    <w:rPr>
      <w:caps/>
      <w:color w:themeColor="accent1" w:themeShade="bf" w:val="00737A"/>
      <w:spacing w:val="10"/>
    </w:rPr>
  </w:style>
  <w:style w:type="character" w:styleId="Classification" w:customStyle="1">
    <w:name w:val="Classification"/>
    <w:basedOn w:val="DefaultParagraphFont"/>
    <w:uiPriority w:val="21"/>
    <w:qFormat/>
    <w:rsid w:val="00662039"/>
    <w:rPr>
      <w:rFonts w:ascii="Calibri" w:hAnsi="Calibri" w:asciiTheme="minorHAnsi" w:hAnsiTheme="minorHAnsi"/>
      <w:sz w:val="20"/>
    </w:rPr>
  </w:style>
  <w:style w:type="character" w:styleId="Style11" w:customStyle="1">
    <w:name w:val="Style1"/>
    <w:basedOn w:val="DefaultParagraphFont"/>
    <w:uiPriority w:val="21"/>
    <w:qFormat/>
    <w:rsid w:val="00e51f56"/>
    <w:rPr>
      <w:rFonts w:ascii="Calibri" w:hAnsi="Calibri" w:asciiTheme="minorHAnsi" w:hAnsiTheme="minorHAnsi"/>
      <w:color w:val="444444"/>
      <w:sz w:val="20"/>
    </w:rPr>
  </w:style>
  <w:style w:type="character" w:styleId="Versionnumber" w:customStyle="1">
    <w:name w:val="Version number"/>
    <w:basedOn w:val="DefaultParagraphFont"/>
    <w:uiPriority w:val="19"/>
    <w:qFormat/>
    <w:rsid w:val="00e51f56"/>
    <w:rPr>
      <w:rFonts w:ascii="Calibri" w:hAnsi="Calibri" w:asciiTheme="minorHAnsi" w:hAnsiTheme="minorHAnsi"/>
      <w:sz w:val="20"/>
    </w:rPr>
  </w:style>
  <w:style w:type="character" w:styleId="ToolkitDate" w:customStyle="1">
    <w:name w:val="Toolkit Date"/>
    <w:basedOn w:val="DefaultParagraphFont"/>
    <w:uiPriority w:val="27"/>
    <w:qFormat/>
    <w:rsid w:val="00db4c5f"/>
    <w:rPr>
      <w:rFonts w:ascii="Calibri" w:hAnsi="Calibri" w:asciiTheme="minorHAnsi" w:hAnsiTheme="minorHAnsi"/>
      <w:sz w:val="20"/>
    </w:rPr>
  </w:style>
  <w:style w:type="character" w:styleId="NoSpacingChar" w:customStyle="1">
    <w:name w:val="No Spacing Char"/>
    <w:basedOn w:val="DefaultParagraphFont"/>
    <w:link w:val="NoSpacing"/>
    <w:uiPriority w:val="1"/>
    <w:qFormat/>
    <w:rsid w:val="00b77f8e"/>
    <w:rPr/>
  </w:style>
  <w:style w:type="character" w:styleId="TitleWhiteChar" w:customStyle="1">
    <w:name w:val="Title (White) Char"/>
    <w:basedOn w:val="DefaultParagraphFont"/>
    <w:link w:val="TitleWhite"/>
    <w:uiPriority w:val="11"/>
    <w:qFormat/>
    <w:rsid w:val="003b3acf"/>
    <w:rPr>
      <w:b/>
      <w:bCs/>
      <w:color w:themeColor="background1" w:val="FFFFFF"/>
      <w:sz w:val="56"/>
      <w:szCs w:val="48"/>
    </w:rPr>
  </w:style>
  <w:style w:type="character" w:styleId="HeadingXChar" w:customStyle="1">
    <w:name w:val="Heading X Char"/>
    <w:basedOn w:val="DefaultParagraphFont"/>
    <w:link w:val="HeadingX"/>
    <w:uiPriority w:val="9"/>
    <w:qFormat/>
    <w:rsid w:val="003b3acf"/>
    <w:rPr>
      <w:color w:themeColor="text2" w:val="009BA4"/>
      <w:sz w:val="36"/>
      <w:szCs w:val="28"/>
    </w:rPr>
  </w:style>
  <w:style w:type="character" w:styleId="HeadingYChar" w:customStyle="1">
    <w:name w:val="Heading Y Char"/>
    <w:basedOn w:val="DefaultParagraphFont"/>
    <w:link w:val="HeadingY"/>
    <w:uiPriority w:val="10"/>
    <w:qFormat/>
    <w:rsid w:val="003b3acf"/>
    <w:rPr>
      <w:color w:themeColor="text2" w:val="009BA4"/>
      <w:sz w:val="32"/>
    </w:rPr>
  </w:style>
  <w:style w:type="character" w:styleId="TitleBlackChar" w:customStyle="1">
    <w:name w:val="Title (Black) Char"/>
    <w:basedOn w:val="DefaultParagraphFont"/>
    <w:link w:val="TitleBlack"/>
    <w:uiPriority w:val="12"/>
    <w:qFormat/>
    <w:rsid w:val="003b3acf"/>
    <w:rPr>
      <w:b/>
      <w:bCs/>
      <w:sz w:val="56"/>
      <w:szCs w:val="48"/>
    </w:rPr>
  </w:style>
  <w:style w:type="character" w:styleId="TitlePageBlackChar" w:customStyle="1">
    <w:name w:val="Title Page (Black) Char"/>
    <w:basedOn w:val="TitleBlackChar"/>
    <w:link w:val="TitlePageBlack"/>
    <w:uiPriority w:val="35"/>
    <w:qFormat/>
    <w:rsid w:val="00c70b41"/>
    <w:rPr>
      <w:b/>
      <w:bCs/>
      <w:sz w:val="56"/>
      <w:szCs w:val="48"/>
    </w:rPr>
  </w:style>
  <w:style w:type="character" w:styleId="ToolkitNameChar" w:customStyle="1">
    <w:name w:val="Toolkit Name Char"/>
    <w:basedOn w:val="DefaultParagraphFont"/>
    <w:link w:val="ToolkitName"/>
    <w:uiPriority w:val="13"/>
    <w:qFormat/>
    <w:rsid w:val="003b3acf"/>
    <w:rPr>
      <w:rFonts w:ascii="Calibri Light" w:hAnsi="Calibri Light" w:cs="Calibri Light" w:asciiTheme="majorHAnsi" w:cstheme="majorHAnsi" w:hAnsiTheme="majorHAnsi"/>
      <w:b/>
      <w:bCs/>
      <w:color w:themeColor="background1" w:val="FFFFFF"/>
      <w:sz w:val="36"/>
      <w:szCs w:val="36"/>
    </w:rPr>
  </w:style>
  <w:style w:type="character" w:styleId="TitlePageTableHeaderChar" w:customStyle="1">
    <w:name w:val="Title Page Table Header Char"/>
    <w:basedOn w:val="TableHeadingChar"/>
    <w:link w:val="TitlePageTableHeader"/>
    <w:uiPriority w:val="8"/>
    <w:qFormat/>
    <w:rsid w:val="001d7ac7"/>
    <w:rPr>
      <w:b/>
      <w:bCs/>
      <w:color w:themeColor="background1" w:val="FFFFFF"/>
      <w:sz w:val="20"/>
    </w:rPr>
  </w:style>
  <w:style w:type="character" w:styleId="FormheaderChar" w:customStyle="1">
    <w:name w:val="Form header Char"/>
    <w:basedOn w:val="DefaultParagraphFont"/>
    <w:link w:val="Formheader"/>
    <w:uiPriority w:val="16"/>
    <w:qFormat/>
    <w:rsid w:val="003b3acf"/>
    <w:rPr>
      <w:b/>
      <w:bCs/>
    </w:rPr>
  </w:style>
  <w:style w:type="character" w:styleId="Heading7Char" w:customStyle="1">
    <w:name w:val="Heading 7 Char"/>
    <w:basedOn w:val="DefaultParagraphFont"/>
    <w:link w:val="Heading7"/>
    <w:uiPriority w:val="9"/>
    <w:semiHidden/>
    <w:qFormat/>
    <w:rsid w:val="003b3acf"/>
    <w:rPr>
      <w:rFonts w:ascii="Calibri Light" w:hAnsi="Calibri Light" w:eastAsia="" w:cs="" w:asciiTheme="majorHAnsi" w:cstheme="majorBidi" w:eastAsiaTheme="majorEastAsia" w:hAnsiTheme="majorHAnsi"/>
      <w:i/>
      <w:iCs/>
      <w:color w:themeColor="accent1" w:themeShade="7f" w:val="004D51"/>
    </w:rPr>
  </w:style>
  <w:style w:type="character" w:styleId="Heading8Char" w:customStyle="1">
    <w:name w:val="Heading 8 Char"/>
    <w:basedOn w:val="DefaultParagraphFont"/>
    <w:link w:val="Heading8"/>
    <w:uiPriority w:val="9"/>
    <w:semiHidden/>
    <w:qFormat/>
    <w:rsid w:val="003b3acf"/>
    <w:rPr>
      <w:rFonts w:ascii="Calibri Light" w:hAnsi="Calibri Light" w:eastAsia="" w:cs="" w:asciiTheme="majorHAnsi" w:cstheme="majorBidi" w:eastAsiaTheme="majorEastAsia" w:hAnsiTheme="majorHAnsi"/>
      <w:color w:themeColor="text1" w:themeTint="d8" w:val="606060"/>
      <w:sz w:val="21"/>
      <w:szCs w:val="21"/>
    </w:rPr>
  </w:style>
  <w:style w:type="character" w:styleId="Heading9Char" w:customStyle="1">
    <w:name w:val="Heading 9 Char"/>
    <w:basedOn w:val="DefaultParagraphFont"/>
    <w:link w:val="Heading9"/>
    <w:uiPriority w:val="9"/>
    <w:semiHidden/>
    <w:qFormat/>
    <w:rsid w:val="003b3acf"/>
    <w:rPr>
      <w:rFonts w:ascii="Calibri Light" w:hAnsi="Calibri Light" w:eastAsia="" w:cs="" w:asciiTheme="majorHAnsi" w:cstheme="majorBidi" w:eastAsiaTheme="majorEastAsia" w:hAnsiTheme="majorHAnsi"/>
      <w:i/>
      <w:iCs/>
      <w:color w:themeColor="text1" w:themeTint="d8" w:val="606060"/>
      <w:sz w:val="21"/>
      <w:szCs w:val="21"/>
    </w:rPr>
  </w:style>
  <w:style w:type="character" w:styleId="FormtitleChar" w:customStyle="1">
    <w:name w:val="Form title Char"/>
    <w:basedOn w:val="DefaultParagraphFont"/>
    <w:link w:val="Formtitle"/>
    <w:uiPriority w:val="15"/>
    <w:qFormat/>
    <w:rsid w:val="003b3acf"/>
    <w:rPr>
      <w:b/>
      <w:bCs/>
      <w:sz w:val="36"/>
      <w:szCs w:val="36"/>
    </w:rPr>
  </w:style>
  <w:style w:type="character" w:styleId="FormbodyChar" w:customStyle="1">
    <w:name w:val="Form body Char"/>
    <w:basedOn w:val="DefaultParagraphFont"/>
    <w:link w:val="Formbody"/>
    <w:uiPriority w:val="17"/>
    <w:qFormat/>
    <w:rsid w:val="003b3acf"/>
    <w:rPr/>
  </w:style>
  <w:style w:type="character" w:styleId="TitleChar" w:customStyle="1">
    <w:name w:val="Title Char"/>
    <w:basedOn w:val="DefaultParagraphFont"/>
    <w:link w:val="Title"/>
    <w:uiPriority w:val="12"/>
    <w:qFormat/>
    <w:rsid w:val="005e7f5b"/>
    <w:rPr>
      <w:rFonts w:eastAsia="" w:cs="" w:cstheme="majorBidi" w:eastAsiaTheme="majorEastAsia"/>
      <w:b/>
      <w:bCs/>
      <w:sz w:val="56"/>
      <w:szCs w:val="48"/>
    </w:rPr>
  </w:style>
  <w:style w:type="character" w:styleId="Heading6Char" w:customStyle="1">
    <w:name w:val="Heading 6 Char"/>
    <w:basedOn w:val="DefaultParagraphFont"/>
    <w:link w:val="Heading6"/>
    <w:uiPriority w:val="9"/>
    <w:semiHidden/>
    <w:qFormat/>
    <w:rsid w:val="003d4c4a"/>
    <w:rPr>
      <w:caps/>
      <w:color w:themeColor="accent1" w:themeShade="bf" w:val="00737A"/>
      <w:spacing w:val="10"/>
    </w:rPr>
  </w:style>
  <w:style w:type="character" w:styleId="SubtitleChar" w:customStyle="1">
    <w:name w:val="Subtitle Char"/>
    <w:basedOn w:val="DefaultParagraphFont"/>
    <w:link w:val="Subtitle"/>
    <w:uiPriority w:val="11"/>
    <w:qFormat/>
    <w:rsid w:val="003d4c4a"/>
    <w:rPr>
      <w:caps/>
      <w:color w:themeColor="text1" w:themeTint="a6" w:val="858585"/>
      <w:spacing w:val="10"/>
      <w:sz w:val="21"/>
      <w:szCs w:val="21"/>
    </w:rPr>
  </w:style>
  <w:style w:type="character" w:styleId="Emphasis">
    <w:name w:val="Emphasis"/>
    <w:uiPriority w:val="20"/>
    <w:qFormat/>
    <w:rsid w:val="003d4c4a"/>
    <w:rPr>
      <w:caps/>
      <w:color w:themeColor="accent1" w:themeShade="7f" w:val="004D51"/>
      <w:spacing w:val="5"/>
    </w:rPr>
  </w:style>
  <w:style w:type="character" w:styleId="QuoteChar" w:customStyle="1">
    <w:name w:val="Quote Char"/>
    <w:basedOn w:val="DefaultParagraphFont"/>
    <w:link w:val="Quote"/>
    <w:uiPriority w:val="29"/>
    <w:qFormat/>
    <w:rsid w:val="003d4c4a"/>
    <w:rPr>
      <w:i/>
      <w:iCs/>
      <w:sz w:val="24"/>
      <w:szCs w:val="24"/>
    </w:rPr>
  </w:style>
  <w:style w:type="character" w:styleId="IntenseQuoteChar" w:customStyle="1">
    <w:name w:val="Intense Quote Char"/>
    <w:basedOn w:val="DefaultParagraphFont"/>
    <w:link w:val="IntenseQuote"/>
    <w:uiPriority w:val="30"/>
    <w:qFormat/>
    <w:rsid w:val="003d4c4a"/>
    <w:rPr>
      <w:color w:themeColor="accent1" w:val="009BA4"/>
      <w:sz w:val="24"/>
      <w:szCs w:val="24"/>
    </w:rPr>
  </w:style>
  <w:style w:type="character" w:styleId="SubtleEmphasis">
    <w:name w:val="Subtle Emphasis"/>
    <w:uiPriority w:val="19"/>
    <w:qFormat/>
    <w:rsid w:val="003d4c4a"/>
    <w:rPr>
      <w:i/>
      <w:iCs/>
      <w:color w:themeColor="accent1" w:themeShade="7f" w:val="004D51"/>
    </w:rPr>
  </w:style>
  <w:style w:type="character" w:styleId="IntenseEmphasis">
    <w:name w:val="Intense Emphasis"/>
    <w:uiPriority w:val="21"/>
    <w:qFormat/>
    <w:rsid w:val="003d4c4a"/>
    <w:rPr>
      <w:b/>
      <w:bCs/>
      <w:caps/>
      <w:color w:themeColor="accent1" w:themeShade="7f" w:val="004D51"/>
      <w:spacing w:val="10"/>
    </w:rPr>
  </w:style>
  <w:style w:type="character" w:styleId="SubtleReference">
    <w:name w:val="Subtle Reference"/>
    <w:uiPriority w:val="31"/>
    <w:qFormat/>
    <w:rsid w:val="003d4c4a"/>
    <w:rPr>
      <w:b/>
      <w:bCs/>
      <w:color w:themeColor="accent1" w:val="009BA4"/>
    </w:rPr>
  </w:style>
  <w:style w:type="character" w:styleId="IntenseReference">
    <w:name w:val="Intense Reference"/>
    <w:uiPriority w:val="32"/>
    <w:qFormat/>
    <w:rsid w:val="003d4c4a"/>
    <w:rPr>
      <w:b/>
      <w:bCs/>
      <w:i/>
      <w:iCs/>
      <w:caps/>
      <w:color w:themeColor="accent1" w:val="009BA4"/>
    </w:rPr>
  </w:style>
  <w:style w:type="character" w:styleId="BookTitle">
    <w:name w:val="Book Title"/>
    <w:uiPriority w:val="33"/>
    <w:qFormat/>
    <w:rsid w:val="003d4c4a"/>
    <w:rPr>
      <w:b/>
      <w:bCs/>
      <w:i/>
      <w:iCs/>
      <w:spacing w:val="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14"/>
    <w:qFormat/>
    <w:rsid w:val="003b3acf"/>
    <w:pPr>
      <w:spacing w:before="0" w:after="200"/>
    </w:pPr>
    <w:rPr>
      <w:i/>
      <w:iCs/>
      <w:color w:val="44546A"/>
      <w:sz w:val="18"/>
      <w:szCs w:val="18"/>
    </w:rPr>
  </w:style>
  <w:style w:type="paragraph" w:styleId="Index">
    <w:name w:val="Index"/>
    <w:basedOn w:val="Normal"/>
    <w:qFormat/>
    <w:pPr>
      <w:suppressLineNumbers/>
    </w:pPr>
    <w:rPr>
      <w:rFonts w:cs="FreeSans"/>
    </w:rPr>
  </w:style>
  <w:style w:type="paragraph" w:styleId="TOC1">
    <w:name w:val="TOC 1"/>
    <w:basedOn w:val="Normal"/>
    <w:next w:val="Normal"/>
    <w:autoRedefine/>
    <w:uiPriority w:val="39"/>
    <w:rsid w:val="0025147a"/>
    <w:pPr>
      <w:spacing w:before="120" w:after="0"/>
    </w:pPr>
    <w:rPr>
      <w:rFonts w:cs="Calibri" w:cstheme="minorHAnsi"/>
      <w:b/>
      <w:bCs/>
      <w:iCs/>
    </w:rPr>
  </w:style>
  <w:style w:type="paragraph" w:styleId="TOC2">
    <w:name w:val="TOC 2"/>
    <w:basedOn w:val="Normal"/>
    <w:next w:val="Normal"/>
    <w:autoRedefine/>
    <w:uiPriority w:val="39"/>
    <w:rsid w:val="0025147a"/>
    <w:pPr>
      <w:spacing w:before="120" w:after="0"/>
      <w:ind w:left="240"/>
    </w:pPr>
    <w:rPr>
      <w:rFonts w:cs="Calibri" w:cstheme="minorHAnsi"/>
      <w:b/>
      <w:bCs/>
      <w:sz w:val="22"/>
      <w:szCs w:val="22"/>
    </w:rPr>
  </w:style>
  <w:style w:type="paragraph" w:styleId="TOC3">
    <w:name w:val="TOC 3"/>
    <w:basedOn w:val="Normal"/>
    <w:next w:val="Normal"/>
    <w:autoRedefine/>
    <w:uiPriority w:val="39"/>
    <w:rsid w:val="0025147a"/>
    <w:pPr>
      <w:spacing w:before="0" w:after="0"/>
      <w:ind w:left="480"/>
    </w:pPr>
    <w:rPr>
      <w:rFonts w:cs="Calibri" w:cstheme="minorHAnsi"/>
      <w:sz w:val="20"/>
    </w:rPr>
  </w:style>
  <w:style w:type="paragraph" w:styleId="Bulletedlist" w:customStyle="1">
    <w:name w:val="Bulleted list"/>
    <w:basedOn w:val="ListParagraph"/>
    <w:link w:val="BulletedlistChar"/>
    <w:autoRedefine/>
    <w:uiPriority w:val="5"/>
    <w:qFormat/>
    <w:rsid w:val="00674188"/>
    <w:pPr>
      <w:numPr>
        <w:ilvl w:val="0"/>
        <w:numId w:val="2"/>
      </w:numPr>
      <w:spacing w:before="0" w:after="160"/>
      <w:contextualSpacing w:val="false"/>
    </w:pPr>
    <w:rPr/>
  </w:style>
  <w:style w:type="paragraph" w:styleId="Bulletedlistheader" w:customStyle="1">
    <w:name w:val="Bulleted list header"/>
    <w:basedOn w:val="Normal"/>
    <w:link w:val="BulletedlistheaderChar"/>
    <w:autoRedefine/>
    <w:uiPriority w:val="24"/>
    <w:qFormat/>
    <w:rsid w:val="0025147a"/>
    <w:pPr>
      <w:spacing w:before="240" w:after="120"/>
    </w:pPr>
    <w:rPr>
      <w:rFonts w:cs="Calibri" w:cstheme="minorHAnsi"/>
      <w:b/>
      <w:iCs/>
      <w:color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2908a1"/>
    <w:pPr>
      <w:tabs>
        <w:tab w:val="clear" w:pos="720"/>
        <w:tab w:val="center" w:pos="4513" w:leader="none"/>
        <w:tab w:val="right" w:pos="9026" w:leader="none"/>
      </w:tabs>
      <w:spacing w:before="0" w:after="0"/>
    </w:pPr>
    <w:rPr/>
  </w:style>
  <w:style w:type="paragraph" w:styleId="Footer">
    <w:name w:val="Footer"/>
    <w:basedOn w:val="Normal"/>
    <w:link w:val="FooterChar"/>
    <w:uiPriority w:val="99"/>
    <w:unhideWhenUsed/>
    <w:rsid w:val="002908a1"/>
    <w:pPr>
      <w:tabs>
        <w:tab w:val="clear" w:pos="720"/>
        <w:tab w:val="center" w:pos="4513" w:leader="none"/>
        <w:tab w:val="right" w:pos="9026" w:leader="none"/>
      </w:tabs>
      <w:spacing w:before="0" w:after="0"/>
    </w:pPr>
    <w:rPr/>
  </w:style>
  <w:style w:type="paragraph" w:styleId="BalloonText">
    <w:name w:val="Balloon Text"/>
    <w:basedOn w:val="Normal"/>
    <w:link w:val="BalloonTextChar"/>
    <w:uiPriority w:val="99"/>
    <w:semiHidden/>
    <w:unhideWhenUsed/>
    <w:qFormat/>
    <w:rsid w:val="002908a1"/>
    <w:pPr/>
    <w:rPr>
      <w:rFonts w:ascii="Segoe UI" w:hAnsi="Segoe UI" w:cs="Segoe UI"/>
      <w:sz w:val="18"/>
      <w:szCs w:val="18"/>
    </w:rPr>
  </w:style>
  <w:style w:type="paragraph" w:styleId="NoSpacing">
    <w:name w:val="No Spacing"/>
    <w:link w:val="NoSpacingChar"/>
    <w:uiPriority w:val="1"/>
    <w:qFormat/>
    <w:rsid w:val="003d4c4a"/>
    <w:pPr>
      <w:widowControl/>
      <w:bidi w:val="0"/>
      <w:spacing w:lineRule="auto" w:line="240" w:before="0" w:after="0"/>
      <w:jc w:val="left"/>
    </w:pPr>
    <w:rPr>
      <w:rFonts w:ascii="Calibri" w:hAnsi="Calibri" w:eastAsia="Times New Roman" w:cs="Times New Roman" w:asciiTheme="minorHAnsi" w:hAnsiTheme="minorHAnsi"/>
      <w:color w:val="444444"/>
      <w:kern w:val="0"/>
      <w:sz w:val="24"/>
      <w:szCs w:val="24"/>
      <w:lang w:val="en-GB" w:eastAsia="en-US" w:bidi="ar-SA"/>
    </w:rPr>
  </w:style>
  <w:style w:type="paragraph" w:styleId="ListParagraph">
    <w:name w:val="List Paragraph"/>
    <w:basedOn w:val="Normal"/>
    <w:uiPriority w:val="34"/>
    <w:qFormat/>
    <w:rsid w:val="0025147a"/>
    <w:pPr>
      <w:spacing w:before="240" w:after="24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3d4c4a"/>
    <w:pPr>
      <w:outlineLvl w:val="9"/>
    </w:pPr>
    <w:rPr/>
  </w:style>
  <w:style w:type="paragraph" w:styleId="TOC4">
    <w:name w:val="TOC 4"/>
    <w:basedOn w:val="Normal"/>
    <w:next w:val="Normal"/>
    <w:autoRedefine/>
    <w:uiPriority w:val="39"/>
    <w:unhideWhenUsed/>
    <w:rsid w:val="00b10e7a"/>
    <w:pPr>
      <w:spacing w:before="0" w:after="0"/>
      <w:ind w:left="720"/>
    </w:pPr>
    <w:rPr>
      <w:rFonts w:cs="Calibri" w:cstheme="minorHAnsi"/>
      <w:sz w:val="20"/>
    </w:rPr>
  </w:style>
  <w:style w:type="paragraph" w:styleId="TOC5">
    <w:name w:val="TOC 5"/>
    <w:basedOn w:val="Normal"/>
    <w:next w:val="Normal"/>
    <w:autoRedefine/>
    <w:uiPriority w:val="39"/>
    <w:unhideWhenUsed/>
    <w:rsid w:val="00b10e7a"/>
    <w:pPr>
      <w:spacing w:before="0" w:after="0"/>
      <w:ind w:left="960"/>
    </w:pPr>
    <w:rPr>
      <w:rFonts w:cs="Calibri" w:cstheme="minorHAnsi"/>
      <w:sz w:val="20"/>
    </w:rPr>
  </w:style>
  <w:style w:type="paragraph" w:styleId="TOC6">
    <w:name w:val="TOC 6"/>
    <w:basedOn w:val="Normal"/>
    <w:next w:val="Normal"/>
    <w:autoRedefine/>
    <w:uiPriority w:val="39"/>
    <w:unhideWhenUsed/>
    <w:rsid w:val="00b10e7a"/>
    <w:pPr>
      <w:spacing w:before="0" w:after="0"/>
      <w:ind w:left="1200"/>
    </w:pPr>
    <w:rPr>
      <w:rFonts w:cs="Calibri" w:cstheme="minorHAnsi"/>
      <w:sz w:val="20"/>
    </w:rPr>
  </w:style>
  <w:style w:type="paragraph" w:styleId="TOC7">
    <w:name w:val="TOC 7"/>
    <w:basedOn w:val="Normal"/>
    <w:next w:val="Normal"/>
    <w:autoRedefine/>
    <w:uiPriority w:val="39"/>
    <w:unhideWhenUsed/>
    <w:rsid w:val="00b10e7a"/>
    <w:pPr>
      <w:spacing w:before="0" w:after="0"/>
      <w:ind w:left="1440"/>
    </w:pPr>
    <w:rPr>
      <w:rFonts w:cs="Calibri" w:cstheme="minorHAnsi"/>
      <w:sz w:val="20"/>
    </w:rPr>
  </w:style>
  <w:style w:type="paragraph" w:styleId="TOC8">
    <w:name w:val="TOC 8"/>
    <w:basedOn w:val="Normal"/>
    <w:next w:val="Normal"/>
    <w:autoRedefine/>
    <w:uiPriority w:val="39"/>
    <w:unhideWhenUsed/>
    <w:rsid w:val="00b10e7a"/>
    <w:pPr>
      <w:spacing w:before="0" w:after="0"/>
      <w:ind w:left="1680"/>
    </w:pPr>
    <w:rPr>
      <w:rFonts w:cs="Calibri" w:cstheme="minorHAnsi"/>
      <w:sz w:val="20"/>
    </w:rPr>
  </w:style>
  <w:style w:type="paragraph" w:styleId="TOC9">
    <w:name w:val="TOC 9"/>
    <w:basedOn w:val="Normal"/>
    <w:next w:val="Normal"/>
    <w:autoRedefine/>
    <w:uiPriority w:val="39"/>
    <w:unhideWhenUsed/>
    <w:rsid w:val="00b10e7a"/>
    <w:pPr>
      <w:spacing w:before="0" w:after="0"/>
      <w:ind w:left="1920"/>
    </w:pPr>
    <w:rPr>
      <w:rFonts w:cs="Calibri" w:cstheme="minorHAnsi"/>
      <w:sz w:val="20"/>
    </w:rPr>
  </w:style>
  <w:style w:type="paragraph" w:styleId="Default" w:customStyle="1">
    <w:name w:val="Default"/>
    <w:uiPriority w:val="21"/>
    <w:qFormat/>
    <w:rsid w:val="0042666b"/>
    <w:pPr>
      <w:widowControl/>
      <w:bidi w:val="0"/>
      <w:spacing w:lineRule="auto" w:line="240" w:before="0" w:after="0"/>
      <w:jc w:val="left"/>
    </w:pPr>
    <w:rPr>
      <w:rFonts w:ascii="Calibri" w:hAnsi="Calibri" w:eastAsia="Calibri" w:cs="Calibri"/>
      <w:color w:val="000000"/>
      <w:kern w:val="0"/>
      <w:sz w:val="24"/>
      <w:szCs w:val="24"/>
      <w:lang w:eastAsia="en-GB" w:val="en-GB" w:bidi="ar-SA"/>
    </w:rPr>
  </w:style>
  <w:style w:type="paragraph" w:styleId="TableBody" w:customStyle="1">
    <w:name w:val="Table Body"/>
    <w:basedOn w:val="Normal"/>
    <w:link w:val="TableBodyChar"/>
    <w:uiPriority w:val="7"/>
    <w:qFormat/>
    <w:rsid w:val="003b3acf"/>
    <w:pPr>
      <w:spacing w:before="0" w:after="0"/>
    </w:pPr>
    <w:rPr>
      <w:color w:themeColor="text1" w:val="444444"/>
      <w:sz w:val="20"/>
    </w:rPr>
  </w:style>
  <w:style w:type="paragraph" w:styleId="TableContents">
    <w:name w:val="Table Contents"/>
    <w:basedOn w:val="Normal"/>
    <w:qFormat/>
    <w:pPr/>
    <w:rPr/>
  </w:style>
  <w:style w:type="paragraph" w:styleId="TableHeading" w:customStyle="1">
    <w:name w:val="Table Heading"/>
    <w:basedOn w:val="TableBody"/>
    <w:link w:val="TableHeadingChar"/>
    <w:uiPriority w:val="6"/>
    <w:qFormat/>
    <w:rsid w:val="003b3acf"/>
    <w:pPr>
      <w:spacing w:before="40" w:after="40"/>
    </w:pPr>
    <w:rPr>
      <w:b/>
      <w:bCs/>
      <w:color w:themeColor="background1" w:val="FFFFFF"/>
    </w:rPr>
  </w:style>
  <w:style w:type="paragraph" w:styleId="TableofFigures">
    <w:name w:val="Table of Figures"/>
    <w:basedOn w:val="Normal"/>
    <w:next w:val="Normal"/>
    <w:uiPriority w:val="99"/>
    <w:unhideWhenUsed/>
    <w:rsid w:val="00c76971"/>
    <w:pPr>
      <w:spacing w:before="0" w:after="0"/>
    </w:pPr>
    <w:rPr>
      <w:rFonts w:cs="Calibri" w:cstheme="minorHAnsi"/>
      <w:b/>
      <w:iCs/>
      <w:sz w:val="22"/>
    </w:rPr>
  </w:style>
  <w:style w:type="paragraph" w:styleId="TitleWhite" w:customStyle="1">
    <w:name w:val="Title (White)"/>
    <w:basedOn w:val="Normal"/>
    <w:link w:val="TitleWhiteChar"/>
    <w:uiPriority w:val="11"/>
    <w:qFormat/>
    <w:rsid w:val="003b3acf"/>
    <w:pPr/>
    <w:rPr>
      <w:b/>
      <w:bCs/>
      <w:color w:themeColor="background1" w:val="FFFFFF"/>
      <w:sz w:val="56"/>
      <w:szCs w:val="48"/>
    </w:rPr>
  </w:style>
  <w:style w:type="paragraph" w:styleId="TitleBlack" w:customStyle="1">
    <w:name w:val="Title (Black)"/>
    <w:basedOn w:val="Normal"/>
    <w:link w:val="TitleBlackChar"/>
    <w:uiPriority w:val="12"/>
    <w:qFormat/>
    <w:rsid w:val="003b3acf"/>
    <w:pPr/>
    <w:rPr>
      <w:b/>
      <w:bCs/>
      <w:sz w:val="56"/>
      <w:szCs w:val="48"/>
    </w:rPr>
  </w:style>
  <w:style w:type="paragraph" w:styleId="HeadingX" w:customStyle="1">
    <w:name w:val="Heading X"/>
    <w:basedOn w:val="Normal"/>
    <w:link w:val="HeadingXChar"/>
    <w:uiPriority w:val="9"/>
    <w:qFormat/>
    <w:rsid w:val="003b3acf"/>
    <w:pPr/>
    <w:rPr>
      <w:color w:themeColor="text2" w:val="009BA4"/>
      <w:sz w:val="36"/>
      <w:szCs w:val="28"/>
    </w:rPr>
  </w:style>
  <w:style w:type="paragraph" w:styleId="HeadingY" w:customStyle="1">
    <w:name w:val="Heading Y"/>
    <w:basedOn w:val="Normal"/>
    <w:link w:val="HeadingYChar"/>
    <w:uiPriority w:val="10"/>
    <w:qFormat/>
    <w:rsid w:val="003b3acf"/>
    <w:pPr/>
    <w:rPr>
      <w:color w:themeColor="text2" w:val="009BA4"/>
      <w:sz w:val="32"/>
    </w:rPr>
  </w:style>
  <w:style w:type="paragraph" w:styleId="TitlePageBlack" w:customStyle="1">
    <w:name w:val="Title Page (Black)"/>
    <w:basedOn w:val="TitleBlack"/>
    <w:link w:val="TitlePageBlackChar"/>
    <w:uiPriority w:val="35"/>
    <w:qFormat/>
    <w:rsid w:val="00dd47bf"/>
    <w:pPr/>
    <w:rPr/>
  </w:style>
  <w:style w:type="paragraph" w:styleId="ToolkitName" w:customStyle="1">
    <w:name w:val="Toolkit Name"/>
    <w:basedOn w:val="Normal"/>
    <w:link w:val="ToolkitNameChar"/>
    <w:uiPriority w:val="13"/>
    <w:qFormat/>
    <w:rsid w:val="003b3acf"/>
    <w:pPr>
      <w:jc w:val="right"/>
    </w:pPr>
    <w:rPr>
      <w:rFonts w:ascii="Calibri Light" w:hAnsi="Calibri Light" w:cs="Calibri Light" w:asciiTheme="majorHAnsi" w:cstheme="majorHAnsi" w:hAnsiTheme="majorHAnsi"/>
      <w:b/>
      <w:bCs/>
      <w:color w:themeColor="background1" w:val="FFFFFF"/>
      <w:sz w:val="36"/>
      <w:szCs w:val="36"/>
    </w:rPr>
  </w:style>
  <w:style w:type="paragraph" w:styleId="TitlePageTableHeader" w:customStyle="1">
    <w:name w:val="Title Page Table Header"/>
    <w:basedOn w:val="TableHeading"/>
    <w:link w:val="TitlePageTableHeaderChar"/>
    <w:uiPriority w:val="8"/>
    <w:qFormat/>
    <w:rsid w:val="001d7ac7"/>
    <w:pPr/>
    <w:rPr/>
  </w:style>
  <w:style w:type="paragraph" w:styleId="Formheader" w:customStyle="1">
    <w:name w:val="Form header"/>
    <w:basedOn w:val="Normal"/>
    <w:link w:val="FormheaderChar"/>
    <w:uiPriority w:val="16"/>
    <w:qFormat/>
    <w:rsid w:val="003b3acf"/>
    <w:pPr>
      <w:spacing w:before="60" w:after="60"/>
    </w:pPr>
    <w:rPr>
      <w:b/>
      <w:bCs/>
    </w:rPr>
  </w:style>
  <w:style w:type="paragraph" w:styleId="Formtitle" w:customStyle="1">
    <w:name w:val="Form title"/>
    <w:basedOn w:val="Normal"/>
    <w:link w:val="FormtitleChar"/>
    <w:uiPriority w:val="15"/>
    <w:qFormat/>
    <w:rsid w:val="003b3acf"/>
    <w:pPr>
      <w:jc w:val="right"/>
    </w:pPr>
    <w:rPr>
      <w:b/>
      <w:bCs/>
      <w:sz w:val="36"/>
      <w:szCs w:val="36"/>
    </w:rPr>
  </w:style>
  <w:style w:type="paragraph" w:styleId="Formbody" w:customStyle="1">
    <w:name w:val="Form body"/>
    <w:basedOn w:val="Normal"/>
    <w:link w:val="FormbodyChar"/>
    <w:uiPriority w:val="17"/>
    <w:qFormat/>
    <w:rsid w:val="003b3acf"/>
    <w:pPr>
      <w:spacing w:before="60" w:after="60"/>
    </w:pPr>
    <w:rPr/>
  </w:style>
  <w:style w:type="paragraph" w:styleId="Title">
    <w:name w:val="Title"/>
    <w:basedOn w:val="Normal"/>
    <w:link w:val="TitleChar"/>
    <w:uiPriority w:val="12"/>
    <w:qFormat/>
    <w:rsid w:val="005e7f5b"/>
    <w:pPr/>
    <w:rPr>
      <w:rFonts w:ascii="Arial" w:hAnsi="Arial" w:eastAsia="" w:cs="" w:cstheme="majorBidi" w:eastAsiaTheme="majorEastAsia"/>
      <w:b/>
      <w:bCs/>
      <w:sz w:val="44"/>
      <w:szCs w:val="48"/>
    </w:rPr>
  </w:style>
  <w:style w:type="paragraph" w:styleId="Subtitle">
    <w:name w:val="Subtitle"/>
    <w:basedOn w:val="Normal"/>
    <w:next w:val="Normal"/>
    <w:link w:val="SubtitleChar"/>
    <w:uiPriority w:val="11"/>
    <w:qFormat/>
    <w:rsid w:val="003d4c4a"/>
    <w:pPr>
      <w:spacing w:before="0" w:after="500"/>
    </w:pPr>
    <w:rPr>
      <w:caps/>
      <w:color w:themeColor="text1" w:themeTint="a6" w:val="858585"/>
      <w:spacing w:val="10"/>
      <w:sz w:val="21"/>
      <w:szCs w:val="21"/>
    </w:rPr>
  </w:style>
  <w:style w:type="paragraph" w:styleId="Quote">
    <w:name w:val="Quote"/>
    <w:basedOn w:val="Normal"/>
    <w:next w:val="Normal"/>
    <w:link w:val="QuoteChar"/>
    <w:uiPriority w:val="29"/>
    <w:qFormat/>
    <w:rsid w:val="003d4c4a"/>
    <w:pPr/>
    <w:rPr>
      <w:i/>
      <w:iCs/>
    </w:rPr>
  </w:style>
  <w:style w:type="paragraph" w:styleId="IntenseQuote">
    <w:name w:val="Intense Quote"/>
    <w:basedOn w:val="Normal"/>
    <w:next w:val="Normal"/>
    <w:link w:val="IntenseQuoteChar"/>
    <w:uiPriority w:val="30"/>
    <w:qFormat/>
    <w:rsid w:val="003d4c4a"/>
    <w:pPr>
      <w:ind w:left="1080" w:right="1080"/>
      <w:jc w:val="center"/>
    </w:pPr>
    <w:rPr>
      <w:color w:themeColor="accent1" w:val="009BA4"/>
    </w:rPr>
  </w:style>
  <w:style w:type="paragraph" w:styleId="ListBullet" w:customStyle="1">
    <w:name w:val="List Bullet"/>
    <w:basedOn w:val="Normal"/>
    <w:pPr/>
    <w:rPr/>
  </w:style>
  <w:style w:type="paragraph" w:styleId="ListNumber" w:customStyle="1">
    <w:name w:val="List Number"/>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08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AlAfaqtables">
    <w:name w:val="Al-Afaq tables"/>
    <w:basedOn w:val="TableNormal"/>
    <w:uiPriority w:val="99"/>
    <w:rsid w:val="00612402"/>
    <w:pPr>
      <w:spacing w:after="0" w:line="240" w:lineRule="auto"/>
    </w:pPr>
  </w:style>
  <w:style w:type="table" w:styleId="TableGridLight">
    <w:name w:val="Grid Table Light"/>
    <w:basedOn w:val="TableNormal"/>
    <w:uiPriority w:val="40"/>
    <w:rsid w:val="00612402"/>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color="A1A1A1" w:themeColor="text1" w:themeTint="80" w:sz="4" w:space="0"/>
        <w:bottom w:val="single" w:color="A1A1A1" w:themeColor="text1" w:themeTint="80" w:sz="4" w:space="0"/>
      </w:tblBorders>
    </w:tblPr>
    <w:tblStylePr w:type="firstRow">
      <w:rPr>
        <w:b/>
        <w:bCs/>
      </w:rPr>
      <w:tblPr/>
      <w:tcPr>
        <w:tcBorders>
          <w:bottom w:val="single" w:color="A1A1A1" w:themeColor="text1" w:sz="4" w:space="0"/>
        </w:tcBorders>
      </w:tcPr>
    </w:tblStylePr>
    <w:tblStylePr w:type="lastRow">
      <w:rPr>
        <w:b/>
        <w:bCs/>
      </w:rPr>
      <w:tblPr/>
      <w:tcPr>
        <w:tcBorders>
          <w:top w:val="single" w:color="A1A1A1" w:themeColor="text1" w:sz="4" w:space="0"/>
        </w:tcBorders>
      </w:tcPr>
    </w:tblStylePr>
    <w:tblStylePr w:type="firstCol">
      <w:rPr>
        <w:b/>
        <w:bCs/>
      </w:rPr>
      <w:tblPr/>
    </w:tblStylePr>
    <w:tblStylePr w:type="lastCol">
      <w:rPr>
        <w:b/>
        <w:bCs/>
      </w:rPr>
      <w:tblPr/>
    </w:tblStylePr>
    <w:tblStylePr w:type="band1Vert">
      <w:tblPr/>
      <w:tcPr>
        <w:tcBorders>
          <w:left w:val="single" w:color="A1A1A1" w:themeColor="text1" w:sz="4" w:space="0"/>
          <w:right w:val="single" w:color="A1A1A1" w:themeColor="text1" w:sz="4" w:space="0"/>
        </w:tcBorders>
      </w:tcPr>
    </w:tblStylePr>
    <w:tblStylePr w:type="band2Vert">
      <w:tblPr/>
      <w:tcPr>
        <w:tcBorders>
          <w:left w:val="single" w:color="A1A1A1" w:themeColor="text1" w:sz="4" w:space="0"/>
          <w:right w:val="single" w:color="A1A1A1" w:themeColor="text1" w:sz="4" w:space="0"/>
        </w:tcBorders>
      </w:tcPr>
    </w:tblStylePr>
    <w:tblStylePr w:type="band1Horz">
      <w:tblPr/>
      <w:tcPr>
        <w:tcBorders>
          <w:top w:val="single" w:color="A1A1A1" w:themeColor="text1" w:sz="4" w:space="0"/>
          <w:bottom w:val="single" w:color="A1A1A1"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4006"/>
    <w:rsid w:val="000D5F12"/>
    <w:rsid w:val="00102CC4"/>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597B0E"/>
    <w:rsid w:val="006036C8"/>
    <w:rsid w:val="00630E7D"/>
    <w:rsid w:val="00640080"/>
    <w:rsid w:val="00662406"/>
    <w:rsid w:val="006879AA"/>
    <w:rsid w:val="006912C8"/>
    <w:rsid w:val="006D612A"/>
    <w:rsid w:val="006F113E"/>
    <w:rsid w:val="00701DEC"/>
    <w:rsid w:val="00733A9B"/>
    <w:rsid w:val="0079194A"/>
    <w:rsid w:val="007C4C8E"/>
    <w:rsid w:val="007C5F4A"/>
    <w:rsid w:val="007D2207"/>
    <w:rsid w:val="007E0D2A"/>
    <w:rsid w:val="00846105"/>
    <w:rsid w:val="009C32BE"/>
    <w:rsid w:val="00AA03FA"/>
    <w:rsid w:val="00AA26D2"/>
    <w:rsid w:val="00AA6D9F"/>
    <w:rsid w:val="00B12885"/>
    <w:rsid w:val="00BC199E"/>
    <w:rsid w:val="00BD1005"/>
    <w:rsid w:val="00BE46F9"/>
    <w:rsid w:val="00C60B9F"/>
    <w:rsid w:val="00CD7653"/>
    <w:rsid w:val="00D42952"/>
    <w:rsid w:val="00D56FC3"/>
    <w:rsid w:val="00DD399C"/>
    <w:rsid w:val="00DD4C9F"/>
    <w:rsid w:val="00DD53BB"/>
    <w:rsid w:val="00DE2832"/>
    <w:rsid w:val="00DE625A"/>
    <w:rsid w:val="00DF513A"/>
    <w:rsid w:val="00E753B8"/>
    <w:rsid w:val="00E93EE8"/>
    <w:rsid w:val="00EF4225"/>
    <w:rsid w:val="00F04438"/>
    <w:rsid w:val="00F42FEC"/>
    <w:rsid w:val="00F66F26"/>
    <w:rsid w:val="00F67662"/>
    <w:rsid w:val="00F85A15"/>
    <w:rsid w:val="00FA5BFB"/>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B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Al-Afaq Theme">
  <a:themeElements>
    <a:clrScheme name="Al-Afaq colours">
      <a:dk1>
        <a:srgbClr val="444444"/>
      </a:dk1>
      <a:lt1>
        <a:srgbClr val="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5A4B-6B9E-47AB-8BFC-D4EB445EB6DD}">
  <ds:schemaRefs>
    <ds:schemaRef ds:uri="http://purl.org/dc/terms/"/>
    <ds:schemaRef ds:uri="http://schemas.microsoft.com/office/infopath/2007/PartnerControls"/>
    <ds:schemaRef ds:uri="http://schemas.microsoft.com/office/2006/documentManagement/types"/>
    <ds:schemaRef ds:uri="http://purl.org/dc/elements/1.1/"/>
    <ds:schemaRef ds:uri="http://schemas.microsoft.com/office/2006/metadata/properties"/>
    <ds:schemaRef ds:uri="f1cf04bc-9f60-4a9d-874f-9541ee77ebfe"/>
    <ds:schemaRef ds:uri="http://schemas.openxmlformats.org/package/2006/metadata/core-properties"/>
    <ds:schemaRef ds:uri="http://www.w3.org/XML/1998/namespace"/>
    <ds:schemaRef ds:uri="http://purl.org/dc/dcmitype/"/>
    <ds:schemaRef ds:uri="89244998-67c5-4bad-a13d-4acc63ad7b2f"/>
  </ds:schemaRefs>
</ds:datastoreItem>
</file>

<file path=customXml/itemProps2.xml><?xml version="1.0" encoding="utf-8"?>
<ds:datastoreItem xmlns:ds="http://schemas.openxmlformats.org/officeDocument/2006/customXml" ds:itemID="{C79D0499-647D-49F3-932F-8450461D9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B4D1EC39-FA57-4BF7-AD08-C70615FE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1894</TotalTime>
  <Application>LibreOffice/24.2.7.2$Linux_X86_64 LibreOffice_project/420$Build-2</Application>
  <AppVersion>15.0000</AppVersion>
  <Pages>10</Pages>
  <Words>2954</Words>
  <Characters>21215</Characters>
  <CharactersWithSpaces>23843</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2019-07-31T13:20:00Z</dcterms:created>
  <dc:creator>Shiban Mohammed Ali Hussein Shiban</dc:creator>
  <dc:description/>
  <dc:language>en-US</dc:language>
  <cp:lastModifiedBy/>
  <dcterms:modified xsi:type="dcterms:W3CDTF">2026-09-13T03:21:30Z</dcterms:modified>
  <cp:revision>934</cp:revision>
  <dc:subject>ISO/IEC 27001:2022 ISMS</dc:subject>
  <dc:title>Information Security Context, Requirements and Scope - Al-Afaq Digital Bank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0x010100DA843292D49187418BD21D9C97EA6F65</vt:lpwstr>
  </property>
  <property fmtid="{D5CDD505-2E9C-101B-9397-08002B2CF9AE}" pid="4" name="MediaServiceImageTags">
    <vt:lpwstr/>
  </property>
  <property fmtid="{D5CDD505-2E9C-101B-9397-08002B2CF9AE}" pid="5" name="Order">
    <vt:r8>1273400</vt:r8>
  </property>
  <property fmtid="{D5CDD505-2E9C-101B-9397-08002B2CF9AE}" pid="6" name="Organization Name">
    <vt:lpwstr>[Organization Name]</vt:lpwstr>
  </property>
  <property fmtid="{D5CDD505-2E9C-101B-9397-08002B2CF9AE}" pid="7" name="TriggerFlowInfo">
    <vt:lpwstr/>
  </property>
  <property fmtid="{D5CDD505-2E9C-101B-9397-08002B2CF9AE}" pid="8" name="_ExtendedDescription">
    <vt:lpwstr/>
  </property>
</Properties>
</file>