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8A2A" w14:textId="77777777" w:rsidR="003D12FC" w:rsidRPr="008D2BD9" w:rsidRDefault="003D12FC">
      <w:pPr>
        <w:spacing w:after="216" w:line="240" w:lineRule="auto"/>
        <w:jc w:val="right"/>
        <w:rPr>
          <w:rFonts w:ascii="Aptos" w:hAnsi="Aptos"/>
        </w:rPr>
      </w:pPr>
    </w:p>
    <w:p w14:paraId="5F644E37" w14:textId="77777777" w:rsidR="003D12FC" w:rsidRPr="008D2BD9" w:rsidRDefault="0018387B">
      <w:pPr>
        <w:pStyle w:val="Title"/>
        <w:rPr>
          <w:rFonts w:ascii="Aptos" w:hAnsi="Aptos"/>
        </w:rPr>
      </w:pPr>
      <w:r>
        <w:t>ISMS Performance Report</w:t>
      </w:r>
    </w:p>
    <w:p w14:paraId="26196F78" w14:textId="77777777" w:rsidR="003D12FC" w:rsidRPr="008D2BD9" w:rsidRDefault="003D12FC">
      <w:pPr>
        <w:jc w:val="both"/>
        <w:rPr>
          <w:rFonts w:ascii="Aptos" w:hAnsi="Aptos"/>
        </w:rPr>
      </w:pPr>
    </w:p>
    <w:p w14:paraId="38D6201E" w14:textId="77777777" w:rsidR="003D12FC" w:rsidRPr="008D2BD9" w:rsidRDefault="0018387B">
      <w:pPr>
        <w:rPr>
          <w:rFonts w:ascii="Aptos" w:hAnsi="Aptos"/>
          <w:b/>
          <w:sz w:val="24"/>
          <w:szCs w:val="24"/>
        </w:rPr>
      </w:pPr>
      <w:r>
        <w:t>Classification: Internal</w:t>
      </w:r>
    </w:p>
    <w:p w14:paraId="171D552A" w14:textId="77777777" w:rsidR="003D12FC" w:rsidRPr="008D2BD9" w:rsidRDefault="0018387B">
      <w:pPr>
        <w:jc w:val="both"/>
        <w:rPr>
          <w:rFonts w:ascii="Aptos" w:hAnsi="Aptos"/>
        </w:rPr>
      </w:pPr>
      <w:r>
        <w:t>This document is intended for authorised internal use and may be shared with approved interested parties when appropriate.</w:t>
      </w:r>
    </w:p>
    <w:p w14:paraId="5B58F742" w14:textId="77777777" w:rsidR="003D12FC" w:rsidRPr="008D2BD9" w:rsidRDefault="003D12FC">
      <w:pPr>
        <w:jc w:val="both"/>
        <w:rPr>
          <w:rFonts w:ascii="Aptos" w:hAnsi="Aptos"/>
        </w:rPr>
      </w:pPr>
    </w:p>
    <w:tbl>
      <w:tblPr>
        <w:tblStyle w:val="GridTable5Dark-Accent1"/>
        <w:tblW w:w="14700" w:type="dxa"/>
        <w:tblLayout w:type="fixed"/>
        <w:tblLook w:val="0620" w:firstRow="1" w:lastRow="0" w:firstColumn="0" w:lastColumn="0" w:noHBand="1" w:noVBand="1"/>
      </w:tblPr>
      <w:tblGrid>
        <w:gridCol w:w="915"/>
        <w:gridCol w:w="1125"/>
        <w:gridCol w:w="1230"/>
        <w:gridCol w:w="1155"/>
        <w:gridCol w:w="1410"/>
        <w:gridCol w:w="1260"/>
        <w:gridCol w:w="7605"/>
      </w:tblGrid>
      <w:tr w:rsidR="003D12FC" w:rsidRPr="008D2BD9" w14:paraId="4A1CC0E8" w14:textId="77777777" w:rsidTr="008D2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tcW w:w="915" w:type="dxa"/>
          </w:tcPr>
          <w:p w14:paraId="7F12985B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Version </w:t>
            </w:r>
          </w:p>
        </w:tc>
        <w:tc>
          <w:tcPr>
            <w:tcW w:w="1125" w:type="dxa"/>
          </w:tcPr>
          <w:p w14:paraId="076BE528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Approved By</w:t>
            </w:r>
          </w:p>
        </w:tc>
        <w:tc>
          <w:tcPr>
            <w:tcW w:w="1230" w:type="dxa"/>
          </w:tcPr>
          <w:p w14:paraId="5142DA04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Owner</w:t>
            </w:r>
          </w:p>
        </w:tc>
        <w:tc>
          <w:tcPr>
            <w:tcW w:w="1155" w:type="dxa"/>
          </w:tcPr>
          <w:p w14:paraId="0CB2A4EC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Date Last Updated</w:t>
            </w:r>
          </w:p>
          <w:p w14:paraId="3C6DA091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 </w:t>
            </w:r>
          </w:p>
        </w:tc>
        <w:tc>
          <w:tcPr>
            <w:tcW w:w="1410" w:type="dxa"/>
          </w:tcPr>
          <w:p w14:paraId="54B5A24E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Review Frequency</w:t>
            </w:r>
          </w:p>
        </w:tc>
        <w:tc>
          <w:tcPr>
            <w:tcW w:w="1260" w:type="dxa"/>
          </w:tcPr>
          <w:p w14:paraId="57207D0D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Next Review </w:t>
            </w:r>
          </w:p>
        </w:tc>
        <w:tc>
          <w:tcPr>
            <w:tcW w:w="7605" w:type="dxa"/>
          </w:tcPr>
          <w:p w14:paraId="146A3916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Comments</w:t>
            </w:r>
          </w:p>
        </w:tc>
      </w:tr>
      <w:tr w:rsidR="003D12FC" w:rsidRPr="008D2BD9" w14:paraId="5452867B" w14:textId="77777777" w:rsidTr="008D2BD9">
        <w:trPr>
          <w:trHeight w:val="915"/>
        </w:trPr>
        <w:tc>
          <w:tcPr>
            <w:tcW w:w="915" w:type="dxa"/>
          </w:tcPr>
          <w:p w14:paraId="4C215BCC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</w:rPr>
              <w:t>1.0</w:t>
            </w:r>
          </w:p>
        </w:tc>
        <w:tc>
          <w:tcPr>
            <w:tcW w:w="1125" w:type="dxa"/>
          </w:tcPr>
          <w:p w14:paraId="36CB80F2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</w:rPr>
              <w:t>Dr. Noura Al-Qahtani, Chief Executive Officer</w:t>
            </w:r>
          </w:p>
        </w:tc>
        <w:tc>
          <w:tcPr>
            <w:tcW w:w="1230" w:type="dxa"/>
          </w:tcPr>
          <w:p w14:paraId="381E839B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</w:rPr>
              <w:t>Information Security Management</w:t>
            </w:r>
          </w:p>
        </w:tc>
        <w:tc>
          <w:tcPr>
            <w:tcW w:w="1155" w:type="dxa"/>
          </w:tcPr>
          <w:p w14:paraId="05AB93EC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  <w:tc>
          <w:tcPr>
            <w:tcW w:w="1410" w:type="dxa"/>
          </w:tcPr>
          <w:p w14:paraId="22568A92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</w:rPr>
              <w:t>Annual</w:t>
            </w:r>
          </w:p>
        </w:tc>
        <w:tc>
          <w:tcPr>
            <w:tcW w:w="1260" w:type="dxa"/>
          </w:tcPr>
          <w:p w14:paraId="6D0EC19A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</w:rPr>
              <w:t>13 September 2027</w:t>
            </w:r>
          </w:p>
        </w:tc>
        <w:tc>
          <w:tcPr>
            <w:tcW w:w="7605" w:type="dxa"/>
          </w:tcPr>
          <w:p w14:paraId="6A26247C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</w:rPr>
              <w:t>Performance measures are reviewed against ISMS objectives, risk treatment progress and evidence available for Al-Afaq Digital Bank.</w:t>
            </w:r>
          </w:p>
        </w:tc>
      </w:tr>
    </w:tbl>
    <w:p w14:paraId="7CFE09ED" w14:textId="77777777" w:rsidR="003D12FC" w:rsidRPr="008D2BD9" w:rsidRDefault="003D12FC">
      <w:pPr>
        <w:jc w:val="both"/>
        <w:rPr>
          <w:rFonts w:ascii="Aptos" w:hAnsi="Aptos"/>
        </w:rPr>
      </w:pPr>
    </w:p>
    <w:p w14:paraId="255CFB8E" w14:textId="77777777" w:rsidR="008D2BD9" w:rsidRPr="008D2BD9" w:rsidRDefault="00000000" w:rsidP="008D2BD9">
      <w:pPr>
        <w:rPr>
          <w:rFonts w:ascii="Aptos" w:hAnsi="Aptos"/>
        </w:rPr>
      </w:pPr>
      <w:r>
        <w:t>Status Key:</w:t>
      </w:r>
    </w:p>
    <w:p w14:paraId="3F188C67" w14:textId="58C8AB35" w:rsidR="008D2BD9" w:rsidRPr="008D2BD9" w:rsidRDefault="00000000" w:rsidP="008D2BD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t xml:space="preserve">GREEN = Meeting or exceeding target. </w:t>
      </w:r>
    </w:p>
    <w:p w14:paraId="43D2724A" w14:textId="77777777" w:rsidR="008D2BD9" w:rsidRPr="008D2BD9" w:rsidRDefault="00000000" w:rsidP="008D2BD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t xml:space="preserve">AMBER = Within 10% of target or active remediation plan in place. </w:t>
      </w:r>
    </w:p>
    <w:p w14:paraId="2AE653A4" w14:textId="77777777" w:rsidR="008D2BD9" w:rsidRPr="00631B6E" w:rsidRDefault="00000000" w:rsidP="008D2BD9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t xml:space="preserve">RED = Significantly below target or no remediation plan. </w:t>
      </w:r>
    </w:p>
    <w:p w14:paraId="19FC9FC5" w14:textId="77777777" w:rsidR="00631B6E" w:rsidRDefault="00631B6E" w:rsidP="00631B6E">
      <w:pPr>
        <w:rPr>
          <w:rFonts w:ascii="Aptos" w:hAnsi="Aptos"/>
          <w:rtl/>
        </w:rPr>
      </w:pPr>
    </w:p>
    <w:p w14:paraId="11BEB054" w14:textId="77777777" w:rsidR="00631B6E" w:rsidRDefault="00631B6E" w:rsidP="00631B6E">
      <w:pPr>
        <w:rPr>
          <w:rFonts w:ascii="Aptos" w:hAnsi="Aptos"/>
          <w:rtl/>
        </w:rPr>
      </w:pPr>
    </w:p>
    <w:p w14:paraId="3E16B1F5" w14:textId="77777777" w:rsidR="00631B6E" w:rsidRDefault="00631B6E" w:rsidP="00631B6E">
      <w:pPr>
        <w:rPr>
          <w:rFonts w:ascii="Aptos" w:hAnsi="Aptos"/>
          <w:rtl/>
        </w:rPr>
      </w:pPr>
    </w:p>
    <w:p w14:paraId="48DEDF5D" w14:textId="77777777" w:rsidR="00631B6E" w:rsidRPr="00631B6E" w:rsidRDefault="00631B6E" w:rsidP="00631B6E">
      <w:pPr>
        <w:rPr>
          <w:rFonts w:ascii="Aptos" w:hAnsi="Aptos"/>
        </w:rPr>
      </w:pPr>
    </w:p>
    <w:p w14:paraId="212D1A94" w14:textId="791D156B" w:rsidR="003D12FC" w:rsidRPr="008D2BD9" w:rsidRDefault="003D12FC">
      <w:pPr>
        <w:jc w:val="both"/>
        <w:rPr>
          <w:rFonts w:ascii="Aptos" w:hAnsi="Aptos"/>
        </w:rPr>
      </w:pPr>
    </w:p>
    <w:tbl>
      <w:tblPr>
        <w:tblStyle w:val="ListTable3-Accent1"/>
        <w:tblW w:w="5205" w:type="pct"/>
        <w:tblInd w:w="-572" w:type="dxa"/>
        <w:tblLook w:val="0620" w:firstRow="1" w:lastRow="0" w:firstColumn="0" w:lastColumn="0" w:noHBand="1" w:noVBand="1"/>
      </w:tblPr>
      <w:tblGrid>
        <w:gridCol w:w="2070"/>
        <w:gridCol w:w="1348"/>
        <w:gridCol w:w="1634"/>
        <w:gridCol w:w="1558"/>
        <w:gridCol w:w="1413"/>
        <w:gridCol w:w="783"/>
        <w:gridCol w:w="2984"/>
        <w:gridCol w:w="1653"/>
        <w:gridCol w:w="1077"/>
      </w:tblGrid>
      <w:tr w:rsidR="008D2BD9" w:rsidRPr="008D2BD9" w14:paraId="077B24EE" w14:textId="77777777" w:rsidTr="00631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5"/>
        </w:trPr>
        <w:tc>
          <w:tcPr>
            <w:tcW w:w="713" w:type="pct"/>
          </w:tcPr>
          <w:p w14:paraId="5A61606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lastRenderedPageBreak/>
              <w:t>Measure</w:t>
            </w:r>
          </w:p>
        </w:tc>
        <w:tc>
          <w:tcPr>
            <w:tcW w:w="464" w:type="pct"/>
          </w:tcPr>
          <w:p w14:paraId="64BD2C6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Description</w:t>
            </w:r>
          </w:p>
        </w:tc>
        <w:tc>
          <w:tcPr>
            <w:tcW w:w="563" w:type="pct"/>
          </w:tcPr>
          <w:p w14:paraId="485E7B4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Frequency</w:t>
            </w:r>
          </w:p>
        </w:tc>
        <w:tc>
          <w:tcPr>
            <w:tcW w:w="537" w:type="pct"/>
          </w:tcPr>
          <w:p w14:paraId="6BAD6F7F" w14:textId="1F7EE71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Target/</w:t>
            </w:r>
            <w:r w:rsidRPr="008D2BD9">
              <w:rPr>
                <w:rFonts w:ascii="Aptos" w:hAnsi="Aptos"/>
                <w:b w:val="0"/>
                <w:sz w:val="18"/>
                <w:szCs w:val="18"/>
              </w:rPr>
              <w:t xml:space="preserve"> </w:t>
            </w:r>
            <w:r w:rsidRPr="008D2BD9">
              <w:rPr>
                <w:rFonts w:ascii="Aptos" w:hAnsi="Aptos"/>
                <w:sz w:val="18"/>
                <w:szCs w:val="18"/>
              </w:rPr>
              <w:t>Threshold</w:t>
            </w:r>
          </w:p>
        </w:tc>
        <w:tc>
          <w:tcPr>
            <w:tcW w:w="487" w:type="pct"/>
          </w:tcPr>
          <w:p w14:paraId="779B474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Data Source</w:t>
            </w:r>
          </w:p>
        </w:tc>
        <w:tc>
          <w:tcPr>
            <w:tcW w:w="270" w:type="pct"/>
          </w:tcPr>
          <w:p w14:paraId="6B9DBBDF" w14:textId="6BD42735" w:rsidR="008D2BD9" w:rsidRPr="008D2BD9" w:rsidRDefault="008D2BD9">
            <w:pPr>
              <w:rPr>
                <w:rFonts w:ascii="Aptos" w:hAnsi="Aptos"/>
                <w:b w:val="0"/>
                <w:sz w:val="18"/>
                <w:szCs w:val="18"/>
              </w:rPr>
            </w:pPr>
            <w:r>
              <w:rPr>
                <w:rFonts w:ascii="Aptos" w:hAnsi="Aptos"/>
                <w:b w:val="0"/>
                <w:sz w:val="18"/>
              </w:rPr>
              <w:t>RAG Status</w:t>
            </w:r>
          </w:p>
        </w:tc>
        <w:tc>
          <w:tcPr>
            <w:tcW w:w="1028" w:type="pct"/>
          </w:tcPr>
          <w:p w14:paraId="1B098D04" w14:textId="0906F97C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Results</w:t>
            </w:r>
          </w:p>
        </w:tc>
        <w:tc>
          <w:tcPr>
            <w:tcW w:w="569" w:type="pct"/>
          </w:tcPr>
          <w:p w14:paraId="5873846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Comments</w:t>
            </w:r>
          </w:p>
        </w:tc>
        <w:tc>
          <w:tcPr>
            <w:tcW w:w="371" w:type="pct"/>
          </w:tcPr>
          <w:p w14:paraId="62AC4FB8" w14:textId="694E4709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Last Review </w:t>
            </w:r>
          </w:p>
        </w:tc>
      </w:tr>
      <w:tr w:rsidR="008D2BD9" w:rsidRPr="008D2BD9" w14:paraId="43321F4C" w14:textId="77777777" w:rsidTr="00631B6E">
        <w:trPr>
          <w:trHeight w:val="2435"/>
        </w:trPr>
        <w:tc>
          <w:tcPr>
            <w:tcW w:w="713" w:type="pct"/>
            <w:shd w:val="clear" w:color="auto" w:fill="F2F2F2" w:themeFill="background1" w:themeFillShade="F2"/>
          </w:tcPr>
          <w:p w14:paraId="1A44853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Policy Review Compliance</w:t>
            </w:r>
          </w:p>
        </w:tc>
        <w:tc>
          <w:tcPr>
            <w:tcW w:w="464" w:type="pct"/>
            <w:shd w:val="clear" w:color="auto" w:fill="F2F2F2" w:themeFill="background1" w:themeFillShade="F2"/>
          </w:tcPr>
          <w:p w14:paraId="51B6949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staff who have acknowledged key information security policies.</w:t>
            </w:r>
          </w:p>
        </w:tc>
        <w:tc>
          <w:tcPr>
            <w:tcW w:w="563" w:type="pct"/>
            <w:shd w:val="clear" w:color="auto" w:fill="F2F2F2" w:themeFill="background1" w:themeFillShade="F2"/>
          </w:tcPr>
          <w:p w14:paraId="6470803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Quarterly</w:t>
            </w:r>
          </w:p>
        </w:tc>
        <w:tc>
          <w:tcPr>
            <w:tcW w:w="537" w:type="pct"/>
            <w:shd w:val="clear" w:color="auto" w:fill="F2F2F2" w:themeFill="background1" w:themeFillShade="F2"/>
          </w:tcPr>
          <w:p w14:paraId="4AF3796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 acknowledgment</w:t>
            </w:r>
          </w:p>
        </w:tc>
        <w:tc>
          <w:tcPr>
            <w:tcW w:w="487" w:type="pct"/>
            <w:shd w:val="clear" w:color="auto" w:fill="F2F2F2" w:themeFill="background1" w:themeFillShade="F2"/>
          </w:tcPr>
          <w:p w14:paraId="79851977" w14:textId="62748964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HR records</w:t>
            </w:r>
          </w:p>
        </w:tc>
        <w:tc>
          <w:tcPr>
            <w:tcW w:w="270" w:type="pct"/>
            <w:shd w:val="clear" w:color="auto" w:fill="FFC000"/>
          </w:tcPr>
          <w:p w14:paraId="54872F7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022EDB27" w14:textId="1D3D5233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does not provide a current acknowledgement percentage; a baseline measurement is required.</w:t>
            </w:r>
          </w:p>
        </w:tc>
        <w:tc>
          <w:tcPr>
            <w:tcW w:w="569" w:type="pct"/>
          </w:tcPr>
          <w:p w14:paraId="5A9A107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Baseline not established in the case study.</w:t>
            </w:r>
          </w:p>
        </w:tc>
        <w:tc>
          <w:tcPr>
            <w:tcW w:w="371" w:type="pct"/>
          </w:tcPr>
          <w:p w14:paraId="63760F3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143B6238" w14:textId="77777777" w:rsidTr="00631B6E">
        <w:trPr>
          <w:trHeight w:val="1610"/>
        </w:trPr>
        <w:tc>
          <w:tcPr>
            <w:tcW w:w="713" w:type="pct"/>
            <w:shd w:val="clear" w:color="auto" w:fill="F2F2F2" w:themeFill="background1" w:themeFillShade="F2"/>
          </w:tcPr>
          <w:p w14:paraId="74E7858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a. Information Security Policy</w:t>
            </w:r>
          </w:p>
        </w:tc>
        <w:tc>
          <w:tcPr>
            <w:tcW w:w="464" w:type="pct"/>
            <w:shd w:val="clear" w:color="auto" w:fill="F2F2F2" w:themeFill="background1" w:themeFillShade="F2"/>
          </w:tcPr>
          <w:p w14:paraId="70FB04A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All staff have reviewed and acknowledged the Information Security Policy.</w:t>
            </w:r>
          </w:p>
        </w:tc>
        <w:tc>
          <w:tcPr>
            <w:tcW w:w="563" w:type="pct"/>
            <w:shd w:val="clear" w:color="auto" w:fill="F2F2F2" w:themeFill="background1" w:themeFillShade="F2"/>
          </w:tcPr>
          <w:p w14:paraId="68EE6EE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Quarterly</w:t>
            </w:r>
          </w:p>
        </w:tc>
        <w:tc>
          <w:tcPr>
            <w:tcW w:w="537" w:type="pct"/>
            <w:shd w:val="clear" w:color="auto" w:fill="F2F2F2" w:themeFill="background1" w:themeFillShade="F2"/>
          </w:tcPr>
          <w:p w14:paraId="1E20A37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w="487" w:type="pct"/>
            <w:shd w:val="clear" w:color="auto" w:fill="F2F2F2" w:themeFill="background1" w:themeFillShade="F2"/>
          </w:tcPr>
          <w:p w14:paraId="652B5A54" w14:textId="2BC79CF8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HR records</w:t>
            </w:r>
          </w:p>
        </w:tc>
        <w:tc>
          <w:tcPr>
            <w:tcW w:w="270" w:type="pct"/>
            <w:shd w:val="clear" w:color="auto" w:fill="FFC000"/>
          </w:tcPr>
          <w:p w14:paraId="654A70F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4B352367" w14:textId="6135BAC1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No current acknowledgement percentage is provided in the case study.</w:t>
            </w:r>
          </w:p>
        </w:tc>
        <w:tc>
          <w:tcPr>
            <w:tcW w:w="569" w:type="pct"/>
          </w:tcPr>
          <w:p w14:paraId="509C0CE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Establish the baseline and retain acknowledgement evidence.</w:t>
            </w:r>
          </w:p>
        </w:tc>
        <w:tc>
          <w:tcPr>
            <w:tcW w:w="371" w:type="pct"/>
          </w:tcPr>
          <w:p w14:paraId="0DA87FC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0A96D46B" w14:textId="77777777" w:rsidTr="00631B6E">
        <w:trPr>
          <w:trHeight w:val="1610"/>
        </w:trPr>
        <w:tc>
          <w:tcPr>
            <w:tcW w:w="713" w:type="pct"/>
            <w:shd w:val="clear" w:color="auto" w:fill="F2F2F2" w:themeFill="background1" w:themeFillShade="F2"/>
          </w:tcPr>
          <w:p w14:paraId="4533BF2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b. Acceptable Use Policy</w:t>
            </w:r>
          </w:p>
        </w:tc>
        <w:tc>
          <w:tcPr>
            <w:tcW w:w="464" w:type="pct"/>
            <w:shd w:val="clear" w:color="auto" w:fill="F2F2F2" w:themeFill="background1" w:themeFillShade="F2"/>
          </w:tcPr>
          <w:p w14:paraId="6D393FF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All staff have reviewed and acknowledged the Acceptable Use Policy.</w:t>
            </w:r>
          </w:p>
        </w:tc>
        <w:tc>
          <w:tcPr>
            <w:tcW w:w="563" w:type="pct"/>
            <w:shd w:val="clear" w:color="auto" w:fill="F2F2F2" w:themeFill="background1" w:themeFillShade="F2"/>
          </w:tcPr>
          <w:p w14:paraId="4856D54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Quarterly</w:t>
            </w:r>
          </w:p>
        </w:tc>
        <w:tc>
          <w:tcPr>
            <w:tcW w:w="537" w:type="pct"/>
            <w:shd w:val="clear" w:color="auto" w:fill="F2F2F2" w:themeFill="background1" w:themeFillShade="F2"/>
          </w:tcPr>
          <w:p w14:paraId="464188D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w="487" w:type="pct"/>
            <w:shd w:val="clear" w:color="auto" w:fill="F2F2F2" w:themeFill="background1" w:themeFillShade="F2"/>
          </w:tcPr>
          <w:p w14:paraId="5B2C98B2" w14:textId="23DD8F31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HR records</w:t>
            </w:r>
          </w:p>
        </w:tc>
        <w:tc>
          <w:tcPr>
            <w:tcW w:w="270" w:type="pct"/>
            <w:shd w:val="clear" w:color="auto" w:fill="FFC000"/>
          </w:tcPr>
          <w:p w14:paraId="030CE6F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58EABBA8" w14:textId="73DD121D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No current acknowledgement percentage is provided in the case study.</w:t>
            </w:r>
          </w:p>
        </w:tc>
        <w:tc>
          <w:tcPr>
            <w:tcW w:w="569" w:type="pct"/>
          </w:tcPr>
          <w:p w14:paraId="402DF17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Establish the baseline and retain acknowledgement evidence.</w:t>
            </w:r>
          </w:p>
        </w:tc>
        <w:tc>
          <w:tcPr>
            <w:tcW w:w="371" w:type="pct"/>
          </w:tcPr>
          <w:p w14:paraId="3D94A55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38015BBC" w14:textId="77777777" w:rsidTr="00631B6E">
        <w:trPr>
          <w:trHeight w:val="1610"/>
        </w:trPr>
        <w:tc>
          <w:tcPr>
            <w:tcW w:w="713" w:type="pct"/>
            <w:shd w:val="clear" w:color="auto" w:fill="F2F2F2" w:themeFill="background1" w:themeFillShade="F2"/>
          </w:tcPr>
          <w:p w14:paraId="575FC4F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c. Cloud Services Policy</w:t>
            </w:r>
          </w:p>
        </w:tc>
        <w:tc>
          <w:tcPr>
            <w:tcW w:w="464" w:type="pct"/>
            <w:shd w:val="clear" w:color="auto" w:fill="F2F2F2" w:themeFill="background1" w:themeFillShade="F2"/>
          </w:tcPr>
          <w:p w14:paraId="10151FF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Relevant staff have reviewed and acknowledged the Cloud Services Policy.</w:t>
            </w:r>
          </w:p>
        </w:tc>
        <w:tc>
          <w:tcPr>
            <w:tcW w:w="563" w:type="pct"/>
            <w:shd w:val="clear" w:color="auto" w:fill="F2F2F2" w:themeFill="background1" w:themeFillShade="F2"/>
          </w:tcPr>
          <w:p w14:paraId="1578ECF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Quarterly</w:t>
            </w:r>
          </w:p>
        </w:tc>
        <w:tc>
          <w:tcPr>
            <w:tcW w:w="537" w:type="pct"/>
            <w:shd w:val="clear" w:color="auto" w:fill="F2F2F2" w:themeFill="background1" w:themeFillShade="F2"/>
          </w:tcPr>
          <w:p w14:paraId="5B27F1E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w="487" w:type="pct"/>
            <w:shd w:val="clear" w:color="auto" w:fill="F2F2F2" w:themeFill="background1" w:themeFillShade="F2"/>
          </w:tcPr>
          <w:p w14:paraId="26784F3D" w14:textId="05CB0E04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HR records</w:t>
            </w:r>
          </w:p>
        </w:tc>
        <w:tc>
          <w:tcPr>
            <w:tcW w:w="270" w:type="pct"/>
            <w:shd w:val="clear" w:color="auto" w:fill="FFC000"/>
          </w:tcPr>
          <w:p w14:paraId="39C5260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70849799" w14:textId="2104372B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identifies AWS use but does not provide policy acknowledgement records.</w:t>
            </w:r>
          </w:p>
        </w:tc>
        <w:tc>
          <w:tcPr>
            <w:tcW w:w="569" w:type="pct"/>
          </w:tcPr>
          <w:p w14:paraId="29B8AA8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Cloud governance is identified as an information security gap.</w:t>
            </w:r>
          </w:p>
        </w:tc>
        <w:tc>
          <w:tcPr>
            <w:tcW w:w="371" w:type="pct"/>
          </w:tcPr>
          <w:p w14:paraId="2C724D0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4BDD60E4" w14:textId="77777777" w:rsidTr="00631B6E">
        <w:trPr>
          <w:trHeight w:val="1880"/>
        </w:trPr>
        <w:tc>
          <w:tcPr>
            <w:tcW w:w="713" w:type="pct"/>
          </w:tcPr>
          <w:p w14:paraId="2729078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lastRenderedPageBreak/>
              <w:t>d. Secure Development Policy</w:t>
            </w:r>
          </w:p>
        </w:tc>
        <w:tc>
          <w:tcPr>
            <w:tcW w:w="464" w:type="pct"/>
          </w:tcPr>
          <w:p w14:paraId="6C1188E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Engineering staff have reviewed and acknowledged secure development requirements.</w:t>
            </w:r>
          </w:p>
        </w:tc>
        <w:tc>
          <w:tcPr>
            <w:tcW w:w="563" w:type="pct"/>
          </w:tcPr>
          <w:p w14:paraId="77BEB44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Quarterly</w:t>
            </w:r>
          </w:p>
        </w:tc>
        <w:tc>
          <w:tcPr>
            <w:tcW w:w="537" w:type="pct"/>
          </w:tcPr>
          <w:p w14:paraId="6A15F87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w="487" w:type="pct"/>
          </w:tcPr>
          <w:p w14:paraId="67E9680F" w14:textId="59E5604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HR records</w:t>
            </w:r>
          </w:p>
        </w:tc>
        <w:tc>
          <w:tcPr>
            <w:tcW w:w="270" w:type="pct"/>
            <w:shd w:val="clear" w:color="auto" w:fill="FFC000"/>
          </w:tcPr>
          <w:p w14:paraId="35215B2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0049F333" w14:textId="5B505D8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No current acknowledgement percentage is provided in the case study.</w:t>
            </w:r>
          </w:p>
        </w:tc>
        <w:tc>
          <w:tcPr>
            <w:tcW w:w="569" w:type="pct"/>
          </w:tcPr>
          <w:p w14:paraId="3003A6A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Secure development practices are present but evidence of acknowledgement is not stated.</w:t>
            </w:r>
          </w:p>
        </w:tc>
        <w:tc>
          <w:tcPr>
            <w:tcW w:w="371" w:type="pct"/>
          </w:tcPr>
          <w:p w14:paraId="171CEDD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54B11322" w14:textId="77777777" w:rsidTr="00631B6E">
        <w:trPr>
          <w:trHeight w:val="1610"/>
        </w:trPr>
        <w:tc>
          <w:tcPr>
            <w:tcW w:w="713" w:type="pct"/>
          </w:tcPr>
          <w:p w14:paraId="06DAFA7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Compliance Percentage to ISO 27001</w:t>
            </w:r>
          </w:p>
        </w:tc>
        <w:tc>
          <w:tcPr>
            <w:tcW w:w="464" w:type="pct"/>
          </w:tcPr>
          <w:p w14:paraId="19C7C02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applicable ISMS controls implemented and operational.</w:t>
            </w:r>
          </w:p>
        </w:tc>
        <w:tc>
          <w:tcPr>
            <w:tcW w:w="563" w:type="pct"/>
          </w:tcPr>
          <w:p w14:paraId="1F23B45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Annually</w:t>
            </w:r>
          </w:p>
        </w:tc>
        <w:tc>
          <w:tcPr>
            <w:tcW w:w="537" w:type="pct"/>
          </w:tcPr>
          <w:p w14:paraId="37C975F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 of scoped controls</w:t>
            </w:r>
          </w:p>
        </w:tc>
        <w:tc>
          <w:tcPr>
            <w:tcW w:w="487" w:type="pct"/>
          </w:tcPr>
          <w:p w14:paraId="46BE9BA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Audit results and non-conformity records</w:t>
            </w:r>
          </w:p>
        </w:tc>
        <w:tc>
          <w:tcPr>
            <w:tcW w:w="270" w:type="pct"/>
            <w:shd w:val="clear" w:color="auto" w:fill="EE0000"/>
          </w:tcPr>
          <w:p w14:paraId="01F4368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RED</w:t>
            </w:r>
          </w:p>
        </w:tc>
        <w:tc>
          <w:tcPr>
            <w:tcW w:w="1028" w:type="pct"/>
          </w:tcPr>
          <w:p w14:paraId="19674917" w14:textId="5BB3208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and control appendix identify multiple gaps and partially implemented practices.</w:t>
            </w:r>
          </w:p>
        </w:tc>
        <w:tc>
          <w:tcPr>
            <w:tcW w:w="569" w:type="pct"/>
          </w:tcPr>
          <w:p w14:paraId="2A6BB9E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Priority is required for governance, documentation, privacy, cloud and technical control gaps.</w:t>
            </w:r>
          </w:p>
        </w:tc>
        <w:tc>
          <w:tcPr>
            <w:tcW w:w="371" w:type="pct"/>
          </w:tcPr>
          <w:p w14:paraId="01C7450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662EE530" w14:textId="77777777" w:rsidTr="00631B6E">
        <w:trPr>
          <w:trHeight w:val="1610"/>
        </w:trPr>
        <w:tc>
          <w:tcPr>
            <w:tcW w:w="713" w:type="pct"/>
          </w:tcPr>
          <w:p w14:paraId="2837F28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Supplier Reviews</w:t>
            </w:r>
          </w:p>
        </w:tc>
        <w:tc>
          <w:tcPr>
            <w:tcW w:w="464" w:type="pct"/>
          </w:tcPr>
          <w:p w14:paraId="055FA9C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suppliers processing bank information reviewed according to the approved schedule.</w:t>
            </w:r>
          </w:p>
        </w:tc>
        <w:tc>
          <w:tcPr>
            <w:tcW w:w="563" w:type="pct"/>
          </w:tcPr>
          <w:p w14:paraId="420088B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Annually</w:t>
            </w:r>
          </w:p>
        </w:tc>
        <w:tc>
          <w:tcPr>
            <w:tcW w:w="537" w:type="pct"/>
          </w:tcPr>
          <w:p w14:paraId="2988A28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w="487" w:type="pct"/>
          </w:tcPr>
          <w:p w14:paraId="79CFDFA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Supplier review records</w:t>
            </w:r>
          </w:p>
        </w:tc>
        <w:tc>
          <w:tcPr>
            <w:tcW w:w="270" w:type="pct"/>
            <w:shd w:val="clear" w:color="auto" w:fill="FFC000"/>
          </w:tcPr>
          <w:p w14:paraId="612E032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36C4A007" w14:textId="10DBF40B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Supplier relationships are identified, but current review completion is not stated.</w:t>
            </w:r>
          </w:p>
        </w:tc>
        <w:tc>
          <w:tcPr>
            <w:tcW w:w="569" w:type="pct"/>
          </w:tcPr>
          <w:p w14:paraId="303BFE9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Baseline supplier review status is not established in the case study.</w:t>
            </w:r>
          </w:p>
        </w:tc>
        <w:tc>
          <w:tcPr>
            <w:tcW w:w="371" w:type="pct"/>
          </w:tcPr>
          <w:p w14:paraId="08A2BCB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6E5BDC84" w14:textId="77777777" w:rsidTr="00631B6E">
        <w:trPr>
          <w:trHeight w:val="1340"/>
        </w:trPr>
        <w:tc>
          <w:tcPr>
            <w:tcW w:w="713" w:type="pct"/>
          </w:tcPr>
          <w:p w14:paraId="301B566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Supplier Risk Assessments</w:t>
            </w:r>
          </w:p>
        </w:tc>
        <w:tc>
          <w:tcPr>
            <w:tcW w:w="464" w:type="pct"/>
          </w:tcPr>
          <w:p w14:paraId="23CF745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critical suppliers with current information security risk assessments.</w:t>
            </w:r>
          </w:p>
        </w:tc>
        <w:tc>
          <w:tcPr>
            <w:tcW w:w="563" w:type="pct"/>
          </w:tcPr>
          <w:p w14:paraId="68AEA77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Annually</w:t>
            </w:r>
          </w:p>
        </w:tc>
        <w:tc>
          <w:tcPr>
            <w:tcW w:w="537" w:type="pct"/>
          </w:tcPr>
          <w:p w14:paraId="0F5B37C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w="487" w:type="pct"/>
          </w:tcPr>
          <w:p w14:paraId="3976B17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Supplier risk assessment records</w:t>
            </w:r>
          </w:p>
        </w:tc>
        <w:tc>
          <w:tcPr>
            <w:tcW w:w="270" w:type="pct"/>
            <w:shd w:val="clear" w:color="auto" w:fill="FFC000"/>
          </w:tcPr>
          <w:p w14:paraId="51B3CDD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19821D16" w14:textId="3D3C69C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identifies supplier and cloud dependencies but provides no completion percentage.</w:t>
            </w:r>
          </w:p>
        </w:tc>
        <w:tc>
          <w:tcPr>
            <w:tcW w:w="569" w:type="pct"/>
          </w:tcPr>
          <w:p w14:paraId="2FA2911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Formal supplier risk assessment status requires confirmation.</w:t>
            </w:r>
          </w:p>
        </w:tc>
        <w:tc>
          <w:tcPr>
            <w:tcW w:w="371" w:type="pct"/>
          </w:tcPr>
          <w:p w14:paraId="0AA4C66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10666EEB" w14:textId="77777777" w:rsidTr="00631B6E">
        <w:trPr>
          <w:trHeight w:val="785"/>
        </w:trPr>
        <w:tc>
          <w:tcPr>
            <w:tcW w:w="713" w:type="pct"/>
          </w:tcPr>
          <w:p w14:paraId="5527AD4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Training and Awareness</w:t>
            </w:r>
          </w:p>
        </w:tc>
        <w:tc>
          <w:tcPr>
            <w:tcW w:w="464" w:type="pct"/>
          </w:tcPr>
          <w:p w14:paraId="6E2EC02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Information security training and awareness performance across relevant personnel.</w:t>
            </w:r>
          </w:p>
        </w:tc>
        <w:tc>
          <w:tcPr>
            <w:tcW w:w="563" w:type="pct"/>
          </w:tcPr>
          <w:p w14:paraId="128F5A3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Quarterly</w:t>
            </w:r>
          </w:p>
        </w:tc>
        <w:tc>
          <w:tcPr>
            <w:tcW w:w="537" w:type="pct"/>
          </w:tcPr>
          <w:p w14:paraId="208497C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 completion of assigned training</w:t>
            </w:r>
          </w:p>
        </w:tc>
        <w:tc>
          <w:tcPr>
            <w:tcW w:w="487" w:type="pct"/>
          </w:tcPr>
          <w:p w14:paraId="19BF255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Training records</w:t>
            </w:r>
          </w:p>
        </w:tc>
        <w:tc>
          <w:tcPr>
            <w:tcW w:w="270" w:type="pct"/>
            <w:shd w:val="clear" w:color="auto" w:fill="FFC000"/>
          </w:tcPr>
          <w:p w14:paraId="27C00BC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5508BDCB" w14:textId="79ED82C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identifies security culture and awareness weaknesses.</w:t>
            </w:r>
          </w:p>
        </w:tc>
        <w:tc>
          <w:tcPr>
            <w:tcW w:w="569" w:type="pct"/>
          </w:tcPr>
          <w:p w14:paraId="4B65F54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Training completion baseline is not provided.</w:t>
            </w:r>
          </w:p>
        </w:tc>
        <w:tc>
          <w:tcPr>
            <w:tcW w:w="371" w:type="pct"/>
          </w:tcPr>
          <w:p w14:paraId="217E96A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159A24F4" w14:textId="77777777" w:rsidTr="00631B6E">
        <w:trPr>
          <w:trHeight w:val="1610"/>
        </w:trPr>
        <w:tc>
          <w:tcPr>
            <w:tcW w:w="713" w:type="pct"/>
          </w:tcPr>
          <w:p w14:paraId="44B9F69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lastRenderedPageBreak/>
              <w:t>a. Intro to ISO 27001</w:t>
            </w:r>
          </w:p>
        </w:tc>
        <w:tc>
          <w:tcPr>
            <w:tcW w:w="464" w:type="pct"/>
          </w:tcPr>
          <w:p w14:paraId="2D35510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staff who completed information security and ISO 27001 awareness training.</w:t>
            </w:r>
          </w:p>
        </w:tc>
        <w:tc>
          <w:tcPr>
            <w:tcW w:w="563" w:type="pct"/>
          </w:tcPr>
          <w:p w14:paraId="7171408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Quarterly</w:t>
            </w:r>
          </w:p>
        </w:tc>
        <w:tc>
          <w:tcPr>
            <w:tcW w:w="537" w:type="pct"/>
          </w:tcPr>
          <w:p w14:paraId="20C602A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w="487" w:type="pct"/>
          </w:tcPr>
          <w:p w14:paraId="6760280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Training records</w:t>
            </w:r>
          </w:p>
        </w:tc>
        <w:tc>
          <w:tcPr>
            <w:tcW w:w="270" w:type="pct"/>
            <w:shd w:val="clear" w:color="auto" w:fill="FFC000"/>
          </w:tcPr>
          <w:p w14:paraId="7FF120D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6EEC0481" w14:textId="0D909D59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No completion percentage is provided; the case study identifies a need for gradual security culture improvement.</w:t>
            </w:r>
          </w:p>
        </w:tc>
        <w:tc>
          <w:tcPr>
            <w:tcW w:w="569" w:type="pct"/>
          </w:tcPr>
          <w:p w14:paraId="6F75CE0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Use training records to establish the baseline.</w:t>
            </w:r>
          </w:p>
        </w:tc>
        <w:tc>
          <w:tcPr>
            <w:tcW w:w="371" w:type="pct"/>
          </w:tcPr>
          <w:p w14:paraId="156D1A6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5DA9381E" w14:textId="77777777" w:rsidTr="00631B6E">
        <w:trPr>
          <w:trHeight w:val="1610"/>
        </w:trPr>
        <w:tc>
          <w:tcPr>
            <w:tcW w:w="713" w:type="pct"/>
          </w:tcPr>
          <w:p w14:paraId="5588681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b. Personal Data Protection Training</w:t>
            </w:r>
          </w:p>
        </w:tc>
        <w:tc>
          <w:tcPr>
            <w:tcW w:w="464" w:type="pct"/>
          </w:tcPr>
          <w:p w14:paraId="6D0D8D0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staff assigned personal data protection training who completed it.</w:t>
            </w:r>
          </w:p>
        </w:tc>
        <w:tc>
          <w:tcPr>
            <w:tcW w:w="563" w:type="pct"/>
          </w:tcPr>
          <w:p w14:paraId="3BE7FD2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Quarterly</w:t>
            </w:r>
          </w:p>
        </w:tc>
        <w:tc>
          <w:tcPr>
            <w:tcW w:w="537" w:type="pct"/>
          </w:tcPr>
          <w:p w14:paraId="4DE71F8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w="487" w:type="pct"/>
          </w:tcPr>
          <w:p w14:paraId="36B1428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Training records</w:t>
            </w:r>
          </w:p>
        </w:tc>
        <w:tc>
          <w:tcPr>
            <w:tcW w:w="270" w:type="pct"/>
            <w:shd w:val="clear" w:color="auto" w:fill="FFC000"/>
          </w:tcPr>
          <w:p w14:paraId="65DF7E0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49520FA2" w14:textId="6084E8AF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identifies partial implementation of personal data protection requirements but provides no training completion rate.</w:t>
            </w:r>
          </w:p>
        </w:tc>
        <w:tc>
          <w:tcPr>
            <w:tcW w:w="569" w:type="pct"/>
          </w:tcPr>
          <w:p w14:paraId="6C2E847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Training evidence should be measured and retained.</w:t>
            </w:r>
          </w:p>
        </w:tc>
        <w:tc>
          <w:tcPr>
            <w:tcW w:w="371" w:type="pct"/>
          </w:tcPr>
          <w:p w14:paraId="4F9D393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652CD000" w14:textId="77777777" w:rsidTr="00631B6E">
        <w:trPr>
          <w:trHeight w:val="1340"/>
        </w:trPr>
        <w:tc>
          <w:tcPr>
            <w:tcW w:w="713" w:type="pct"/>
          </w:tcPr>
          <w:p w14:paraId="3FDAACC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c. Contractor NDAs</w:t>
            </w:r>
          </w:p>
        </w:tc>
        <w:tc>
          <w:tcPr>
            <w:tcW w:w="464" w:type="pct"/>
          </w:tcPr>
          <w:p w14:paraId="4322BB3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applicable contractors with documented confidentiality or non-disclosure agreements.</w:t>
            </w:r>
          </w:p>
        </w:tc>
        <w:tc>
          <w:tcPr>
            <w:tcW w:w="563" w:type="pct"/>
          </w:tcPr>
          <w:p w14:paraId="2673EE1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Annually</w:t>
            </w:r>
          </w:p>
        </w:tc>
        <w:tc>
          <w:tcPr>
            <w:tcW w:w="537" w:type="pct"/>
          </w:tcPr>
          <w:p w14:paraId="4880BC8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w="487" w:type="pct"/>
          </w:tcPr>
          <w:p w14:paraId="0DCE0D7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Legal and HR records</w:t>
            </w:r>
          </w:p>
        </w:tc>
        <w:tc>
          <w:tcPr>
            <w:tcW w:w="270" w:type="pct"/>
            <w:shd w:val="clear" w:color="auto" w:fill="FFC000"/>
          </w:tcPr>
          <w:p w14:paraId="01D9AE9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34E685F0" w14:textId="49F2C76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does not provide a contractor NDA completion rate.</w:t>
            </w:r>
          </w:p>
        </w:tc>
        <w:tc>
          <w:tcPr>
            <w:tcW w:w="569" w:type="pct"/>
          </w:tcPr>
          <w:p w14:paraId="0AAD128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Current contractual records require confirmation.</w:t>
            </w:r>
          </w:p>
        </w:tc>
        <w:tc>
          <w:tcPr>
            <w:tcW w:w="371" w:type="pct"/>
          </w:tcPr>
          <w:p w14:paraId="2CAC32F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40444EB5" w14:textId="77777777" w:rsidTr="00631B6E">
        <w:trPr>
          <w:trHeight w:val="1610"/>
        </w:trPr>
        <w:tc>
          <w:tcPr>
            <w:tcW w:w="713" w:type="pct"/>
          </w:tcPr>
          <w:p w14:paraId="033483C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Statement of Applicability Review</w:t>
            </w:r>
          </w:p>
        </w:tc>
        <w:tc>
          <w:tcPr>
            <w:tcW w:w="464" w:type="pct"/>
          </w:tcPr>
          <w:p w14:paraId="10AFC20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applicable controls reviewed in the Statement of Applicability annually.</w:t>
            </w:r>
          </w:p>
        </w:tc>
        <w:tc>
          <w:tcPr>
            <w:tcW w:w="563" w:type="pct"/>
          </w:tcPr>
          <w:p w14:paraId="41B37FD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Annually</w:t>
            </w:r>
          </w:p>
        </w:tc>
        <w:tc>
          <w:tcPr>
            <w:tcW w:w="537" w:type="pct"/>
          </w:tcPr>
          <w:p w14:paraId="1E3CC1F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</w:t>
            </w:r>
          </w:p>
        </w:tc>
        <w:tc>
          <w:tcPr>
            <w:tcW w:w="487" w:type="pct"/>
          </w:tcPr>
          <w:p w14:paraId="1BE9C63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ISMS documentation review records</w:t>
            </w:r>
          </w:p>
        </w:tc>
        <w:tc>
          <w:tcPr>
            <w:tcW w:w="270" w:type="pct"/>
            <w:shd w:val="clear" w:color="auto" w:fill="FFC000"/>
          </w:tcPr>
          <w:p w14:paraId="31FA42B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72653F1B" w14:textId="170B925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does not provide a completed annual Statement of Applicability review percentage.</w:t>
            </w:r>
          </w:p>
        </w:tc>
        <w:tc>
          <w:tcPr>
            <w:tcW w:w="569" w:type="pct"/>
          </w:tcPr>
          <w:p w14:paraId="3132F1E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Review evidence must be established as part of ISMS governance.</w:t>
            </w:r>
          </w:p>
        </w:tc>
        <w:tc>
          <w:tcPr>
            <w:tcW w:w="371" w:type="pct"/>
          </w:tcPr>
          <w:p w14:paraId="0A7832D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418EE9F8" w14:textId="77777777" w:rsidTr="00631B6E">
        <w:trPr>
          <w:trHeight w:val="1610"/>
        </w:trPr>
        <w:tc>
          <w:tcPr>
            <w:tcW w:w="713" w:type="pct"/>
          </w:tcPr>
          <w:p w14:paraId="178C4A5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Information Security Incidents</w:t>
            </w:r>
          </w:p>
        </w:tc>
        <w:tc>
          <w:tcPr>
            <w:tcW w:w="464" w:type="pct"/>
          </w:tcPr>
          <w:p w14:paraId="7C0D14F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Number of information security incidents recorded and their resolution status.</w:t>
            </w:r>
          </w:p>
        </w:tc>
        <w:tc>
          <w:tcPr>
            <w:tcW w:w="563" w:type="pct"/>
          </w:tcPr>
          <w:p w14:paraId="1CE94EE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Monthly/Quarterly</w:t>
            </w:r>
          </w:p>
        </w:tc>
        <w:tc>
          <w:tcPr>
            <w:tcW w:w="537" w:type="pct"/>
          </w:tcPr>
          <w:p w14:paraId="3D839B7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Zero unresolved incidents</w:t>
            </w:r>
          </w:p>
        </w:tc>
        <w:tc>
          <w:tcPr>
            <w:tcW w:w="487" w:type="pct"/>
          </w:tcPr>
          <w:p w14:paraId="7CEF6DD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Incident records</w:t>
            </w:r>
          </w:p>
        </w:tc>
        <w:tc>
          <w:tcPr>
            <w:tcW w:w="270" w:type="pct"/>
            <w:shd w:val="clear" w:color="auto" w:fill="FFC000"/>
          </w:tcPr>
          <w:p w14:paraId="31E0554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0855632B" w14:textId="68DE43E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documents five material security incidents; no current unresolved incident count is provided.</w:t>
            </w:r>
          </w:p>
        </w:tc>
        <w:tc>
          <w:tcPr>
            <w:tcW w:w="569" w:type="pct"/>
          </w:tcPr>
          <w:p w14:paraId="4ECA138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Incident lessons and follow-up actions require continued tracking.</w:t>
            </w:r>
          </w:p>
        </w:tc>
        <w:tc>
          <w:tcPr>
            <w:tcW w:w="371" w:type="pct"/>
          </w:tcPr>
          <w:p w14:paraId="395D0B7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6C602F1C" w14:textId="77777777" w:rsidTr="00631B6E">
        <w:trPr>
          <w:trHeight w:val="1340"/>
        </w:trPr>
        <w:tc>
          <w:tcPr>
            <w:tcW w:w="713" w:type="pct"/>
          </w:tcPr>
          <w:p w14:paraId="22B298F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lastRenderedPageBreak/>
              <w:t>Incident Response</w:t>
            </w:r>
          </w:p>
        </w:tc>
        <w:tc>
          <w:tcPr>
            <w:tcW w:w="464" w:type="pct"/>
          </w:tcPr>
          <w:p w14:paraId="38A3660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Average resolution time for information security incidents.</w:t>
            </w:r>
          </w:p>
        </w:tc>
        <w:tc>
          <w:tcPr>
            <w:tcW w:w="563" w:type="pct"/>
          </w:tcPr>
          <w:p w14:paraId="6F8E88D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Monthly/Quarterly</w:t>
            </w:r>
          </w:p>
        </w:tc>
        <w:tc>
          <w:tcPr>
            <w:tcW w:w="537" w:type="pct"/>
          </w:tcPr>
          <w:p w14:paraId="4A23851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Within defined SLAs</w:t>
            </w:r>
          </w:p>
        </w:tc>
        <w:tc>
          <w:tcPr>
            <w:tcW w:w="487" w:type="pct"/>
          </w:tcPr>
          <w:p w14:paraId="4FB5314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Incident records</w:t>
            </w:r>
          </w:p>
        </w:tc>
        <w:tc>
          <w:tcPr>
            <w:tcW w:w="270" w:type="pct"/>
            <w:shd w:val="clear" w:color="auto" w:fill="FFC000"/>
          </w:tcPr>
          <w:p w14:paraId="7EA996E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75311310" w14:textId="06337203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Recorded examples include a three-hour banking outage and a two-hour phishing-related detection period; no defined SLA baseline is provided.</w:t>
            </w:r>
          </w:p>
        </w:tc>
        <w:tc>
          <w:tcPr>
            <w:tcW w:w="569" w:type="pct"/>
          </w:tcPr>
          <w:p w14:paraId="76B5409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Formal SLA measurement is not stated in the case study.</w:t>
            </w:r>
          </w:p>
        </w:tc>
        <w:tc>
          <w:tcPr>
            <w:tcW w:w="371" w:type="pct"/>
          </w:tcPr>
          <w:p w14:paraId="227B39A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7FC0EBBE" w14:textId="77777777" w:rsidTr="00631B6E">
        <w:trPr>
          <w:trHeight w:val="1340"/>
        </w:trPr>
        <w:tc>
          <w:tcPr>
            <w:tcW w:w="713" w:type="pct"/>
          </w:tcPr>
          <w:p w14:paraId="40FC24C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Access Control Audits</w:t>
            </w:r>
          </w:p>
        </w:tc>
        <w:tc>
          <w:tcPr>
            <w:tcW w:w="464" w:type="pct"/>
          </w:tcPr>
          <w:p w14:paraId="241BDDC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identified logical and physical access areas reviewed.</w:t>
            </w:r>
          </w:p>
        </w:tc>
        <w:tc>
          <w:tcPr>
            <w:tcW w:w="563" w:type="pct"/>
          </w:tcPr>
          <w:p w14:paraId="5C18F6C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Annually</w:t>
            </w:r>
          </w:p>
        </w:tc>
        <w:tc>
          <w:tcPr>
            <w:tcW w:w="537" w:type="pct"/>
          </w:tcPr>
          <w:p w14:paraId="44C14E4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 of identified access areas</w:t>
            </w:r>
          </w:p>
        </w:tc>
        <w:tc>
          <w:tcPr>
            <w:tcW w:w="487" w:type="pct"/>
          </w:tcPr>
          <w:p w14:paraId="46E49C8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Access records and audit reports</w:t>
            </w:r>
          </w:p>
        </w:tc>
        <w:tc>
          <w:tcPr>
            <w:tcW w:w="270" w:type="pct"/>
            <w:shd w:val="clear" w:color="auto" w:fill="EE0000"/>
          </w:tcPr>
          <w:p w14:paraId="4742448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RED</w:t>
            </w:r>
          </w:p>
        </w:tc>
        <w:tc>
          <w:tcPr>
            <w:tcW w:w="1028" w:type="pct"/>
          </w:tcPr>
          <w:p w14:paraId="4B56FE94" w14:textId="4B10315B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identifies excessive HR folder access and no periodic access review.</w:t>
            </w:r>
          </w:p>
        </w:tc>
        <w:tc>
          <w:tcPr>
            <w:tcW w:w="569" w:type="pct"/>
          </w:tcPr>
          <w:p w14:paraId="63714B6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Access review evidence and remediation require priority.</w:t>
            </w:r>
          </w:p>
        </w:tc>
        <w:tc>
          <w:tcPr>
            <w:tcW w:w="371" w:type="pct"/>
          </w:tcPr>
          <w:p w14:paraId="0C67A8B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3080127A" w14:textId="77777777" w:rsidTr="00631B6E">
        <w:trPr>
          <w:trHeight w:val="1610"/>
        </w:trPr>
        <w:tc>
          <w:tcPr>
            <w:tcW w:w="713" w:type="pct"/>
          </w:tcPr>
          <w:p w14:paraId="2720C1C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Internal Audit Results</w:t>
            </w:r>
          </w:p>
        </w:tc>
        <w:tc>
          <w:tcPr>
            <w:tcW w:w="464" w:type="pct"/>
          </w:tcPr>
          <w:p w14:paraId="2EB5A19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Number and severity of findings from internal ISMS audits.</w:t>
            </w:r>
          </w:p>
        </w:tc>
        <w:tc>
          <w:tcPr>
            <w:tcW w:w="563" w:type="pct"/>
          </w:tcPr>
          <w:p w14:paraId="0905ED1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Annually</w:t>
            </w:r>
          </w:p>
        </w:tc>
        <w:tc>
          <w:tcPr>
            <w:tcW w:w="537" w:type="pct"/>
          </w:tcPr>
          <w:p w14:paraId="436531C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No major findings; reduced minor issues</w:t>
            </w:r>
          </w:p>
        </w:tc>
        <w:tc>
          <w:tcPr>
            <w:tcW w:w="487" w:type="pct"/>
          </w:tcPr>
          <w:p w14:paraId="1C34198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Internal audit records</w:t>
            </w:r>
          </w:p>
        </w:tc>
        <w:tc>
          <w:tcPr>
            <w:tcW w:w="270" w:type="pct"/>
            <w:shd w:val="clear" w:color="auto" w:fill="EE0000"/>
          </w:tcPr>
          <w:p w14:paraId="563B985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RED</w:t>
            </w:r>
          </w:p>
        </w:tc>
        <w:tc>
          <w:tcPr>
            <w:tcW w:w="1028" w:type="pct"/>
          </w:tcPr>
          <w:p w14:paraId="15C52A24" w14:textId="544AD789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states that internal audit has not previously performed regular ISO 27001-focused reviews.</w:t>
            </w:r>
          </w:p>
        </w:tc>
        <w:tc>
          <w:tcPr>
            <w:tcW w:w="569" w:type="pct"/>
          </w:tcPr>
          <w:p w14:paraId="47EE5A7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An independent ISMS audit programme is required.</w:t>
            </w:r>
          </w:p>
        </w:tc>
        <w:tc>
          <w:tcPr>
            <w:tcW w:w="371" w:type="pct"/>
          </w:tcPr>
          <w:p w14:paraId="1E11EB6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5DDC028E" w14:textId="77777777" w:rsidTr="00631B6E">
        <w:trPr>
          <w:trHeight w:val="1880"/>
        </w:trPr>
        <w:tc>
          <w:tcPr>
            <w:tcW w:w="713" w:type="pct"/>
          </w:tcPr>
          <w:p w14:paraId="3C51A02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Management Review Effectiveness</w:t>
            </w:r>
          </w:p>
        </w:tc>
        <w:tc>
          <w:tcPr>
            <w:tcW w:w="464" w:type="pct"/>
          </w:tcPr>
          <w:p w14:paraId="227A874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Evidence of completed ISMS management reviews and follow-up actions.</w:t>
            </w:r>
          </w:p>
        </w:tc>
        <w:tc>
          <w:tcPr>
            <w:tcW w:w="563" w:type="pct"/>
          </w:tcPr>
          <w:p w14:paraId="51A3CF8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Annually</w:t>
            </w:r>
          </w:p>
        </w:tc>
        <w:tc>
          <w:tcPr>
            <w:tcW w:w="537" w:type="pct"/>
          </w:tcPr>
          <w:p w14:paraId="145E7FF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 annually</w:t>
            </w:r>
          </w:p>
        </w:tc>
        <w:tc>
          <w:tcPr>
            <w:tcW w:w="487" w:type="pct"/>
          </w:tcPr>
          <w:p w14:paraId="085FC02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Management review records</w:t>
            </w:r>
          </w:p>
        </w:tc>
        <w:tc>
          <w:tcPr>
            <w:tcW w:w="270" w:type="pct"/>
            <w:shd w:val="clear" w:color="auto" w:fill="FFC000"/>
          </w:tcPr>
          <w:p w14:paraId="5BB19AE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5C5AA1EE" w14:textId="474FCE7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No completed ISMS management review evidence is provided in the case study.</w:t>
            </w:r>
          </w:p>
        </w:tc>
        <w:tc>
          <w:tcPr>
            <w:tcW w:w="569" w:type="pct"/>
          </w:tcPr>
          <w:p w14:paraId="1C030F8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Formal management review evidence must be established.</w:t>
            </w:r>
          </w:p>
        </w:tc>
        <w:tc>
          <w:tcPr>
            <w:tcW w:w="371" w:type="pct"/>
          </w:tcPr>
          <w:p w14:paraId="3C77E01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16E9C4D7" w14:textId="77777777" w:rsidTr="00631B6E">
        <w:trPr>
          <w:trHeight w:val="785"/>
        </w:trPr>
        <w:tc>
          <w:tcPr>
            <w:tcW w:w="713" w:type="pct"/>
          </w:tcPr>
          <w:p w14:paraId="5C5AF0A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Risk Management</w:t>
            </w:r>
          </w:p>
        </w:tc>
        <w:tc>
          <w:tcPr>
            <w:tcW w:w="464" w:type="pct"/>
          </w:tcPr>
          <w:p w14:paraId="27CE31A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Performance of information security risk identification, treatment and acceptance.</w:t>
            </w:r>
          </w:p>
        </w:tc>
        <w:tc>
          <w:tcPr>
            <w:tcW w:w="563" w:type="pct"/>
          </w:tcPr>
          <w:p w14:paraId="2C545D8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Quarterly</w:t>
            </w:r>
          </w:p>
        </w:tc>
        <w:tc>
          <w:tcPr>
            <w:tcW w:w="537" w:type="pct"/>
          </w:tcPr>
          <w:p w14:paraId="3B94561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All material risks assessed and tracked</w:t>
            </w:r>
          </w:p>
        </w:tc>
        <w:tc>
          <w:tcPr>
            <w:tcW w:w="487" w:type="pct"/>
          </w:tcPr>
          <w:p w14:paraId="44B8631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Risk log</w:t>
            </w:r>
          </w:p>
        </w:tc>
        <w:tc>
          <w:tcPr>
            <w:tcW w:w="270" w:type="pct"/>
            <w:shd w:val="clear" w:color="auto" w:fill="FFC000"/>
          </w:tcPr>
          <w:p w14:paraId="0BFF149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70BF1B6F" w14:textId="479075AC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completed risk assessment identifies 20 material information security risks; current treatment completion is not established in the case study.</w:t>
            </w:r>
          </w:p>
        </w:tc>
        <w:tc>
          <w:tcPr>
            <w:tcW w:w="569" w:type="pct"/>
          </w:tcPr>
          <w:p w14:paraId="6E8C719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Risk treatment progress should be monitored through the risk log.</w:t>
            </w:r>
          </w:p>
        </w:tc>
        <w:tc>
          <w:tcPr>
            <w:tcW w:w="371" w:type="pct"/>
          </w:tcPr>
          <w:p w14:paraId="1CEEF99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59B32EA7" w14:textId="77777777" w:rsidTr="00631B6E">
        <w:trPr>
          <w:trHeight w:val="1340"/>
        </w:trPr>
        <w:tc>
          <w:tcPr>
            <w:tcW w:w="713" w:type="pct"/>
          </w:tcPr>
          <w:p w14:paraId="21311B5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a. Identified Risks</w:t>
            </w:r>
          </w:p>
        </w:tc>
        <w:tc>
          <w:tcPr>
            <w:tcW w:w="464" w:type="pct"/>
          </w:tcPr>
          <w:p w14:paraId="73F1902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 xml:space="preserve">Number of information security risks identified during the </w:t>
            </w:r>
            <w:r>
              <w:rPr>
                <w:rFonts w:ascii="Aptos" w:hAnsi="Aptos"/>
                <w:sz w:val="18"/>
              </w:rPr>
              <w:lastRenderedPageBreak/>
              <w:t>reporting period.</w:t>
            </w:r>
          </w:p>
        </w:tc>
        <w:tc>
          <w:tcPr>
            <w:tcW w:w="563" w:type="pct"/>
          </w:tcPr>
          <w:p w14:paraId="1534C61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lastRenderedPageBreak/>
              <w:t>Quarterly</w:t>
            </w:r>
          </w:p>
        </w:tc>
        <w:tc>
          <w:tcPr>
            <w:tcW w:w="537" w:type="pct"/>
          </w:tcPr>
          <w:p w14:paraId="24A065F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Reporting metric</w:t>
            </w:r>
          </w:p>
        </w:tc>
        <w:tc>
          <w:tcPr>
            <w:tcW w:w="487" w:type="pct"/>
          </w:tcPr>
          <w:p w14:paraId="3874164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Risk log</w:t>
            </w:r>
          </w:p>
        </w:tc>
        <w:tc>
          <w:tcPr>
            <w:tcW w:w="270" w:type="pct"/>
            <w:shd w:val="clear" w:color="auto" w:fill="92D050"/>
          </w:tcPr>
          <w:p w14:paraId="5DEAACA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GREEN</w:t>
            </w:r>
          </w:p>
        </w:tc>
        <w:tc>
          <w:tcPr>
            <w:tcW w:w="1028" w:type="pct"/>
          </w:tcPr>
          <w:p w14:paraId="5888B847" w14:textId="53C594CF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20 material information security risks are recorded in the completed asset-based risk assessment.</w:t>
            </w:r>
          </w:p>
        </w:tc>
        <w:tc>
          <w:tcPr>
            <w:tcW w:w="569" w:type="pct"/>
          </w:tcPr>
          <w:p w14:paraId="101264F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risk register provides the current project baseline.</w:t>
            </w:r>
          </w:p>
        </w:tc>
        <w:tc>
          <w:tcPr>
            <w:tcW w:w="371" w:type="pct"/>
          </w:tcPr>
          <w:p w14:paraId="2CB93F0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7D3377CD" w14:textId="77777777" w:rsidTr="00631B6E">
        <w:trPr>
          <w:trHeight w:val="1610"/>
        </w:trPr>
        <w:tc>
          <w:tcPr>
            <w:tcW w:w="713" w:type="pct"/>
          </w:tcPr>
          <w:p w14:paraId="4A11B15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b. Mitigated Risks</w:t>
            </w:r>
          </w:p>
        </w:tc>
        <w:tc>
          <w:tcPr>
            <w:tcW w:w="464" w:type="pct"/>
          </w:tcPr>
          <w:p w14:paraId="23CCDC9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identified risks mitigated within defined timeframes.</w:t>
            </w:r>
          </w:p>
        </w:tc>
        <w:tc>
          <w:tcPr>
            <w:tcW w:w="563" w:type="pct"/>
          </w:tcPr>
          <w:p w14:paraId="0537C7C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Quarterly</w:t>
            </w:r>
          </w:p>
        </w:tc>
        <w:tc>
          <w:tcPr>
            <w:tcW w:w="537" w:type="pct"/>
          </w:tcPr>
          <w:p w14:paraId="47F8E4B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 of critical/high risks mitigated</w:t>
            </w:r>
          </w:p>
        </w:tc>
        <w:tc>
          <w:tcPr>
            <w:tcW w:w="487" w:type="pct"/>
          </w:tcPr>
          <w:p w14:paraId="326BAAE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Risk log</w:t>
            </w:r>
          </w:p>
        </w:tc>
        <w:tc>
          <w:tcPr>
            <w:tcW w:w="270" w:type="pct"/>
            <w:shd w:val="clear" w:color="auto" w:fill="EE0000"/>
          </w:tcPr>
          <w:p w14:paraId="4717E3B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RED</w:t>
            </w:r>
          </w:p>
        </w:tc>
        <w:tc>
          <w:tcPr>
            <w:tcW w:w="1028" w:type="pct"/>
          </w:tcPr>
          <w:p w14:paraId="678953DC" w14:textId="0EED77C1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assessment identifies 19 High risks before treatment and records treatment as not started in the project baseline.</w:t>
            </w:r>
          </w:p>
        </w:tc>
        <w:tc>
          <w:tcPr>
            <w:tcW w:w="569" w:type="pct"/>
          </w:tcPr>
          <w:p w14:paraId="1A63123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Immediate attention is required to establish and implement treatment plans.</w:t>
            </w:r>
          </w:p>
        </w:tc>
        <w:tc>
          <w:tcPr>
            <w:tcW w:w="371" w:type="pct"/>
          </w:tcPr>
          <w:p w14:paraId="65BF768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7893D025" w14:textId="77777777" w:rsidTr="00631B6E">
        <w:trPr>
          <w:trHeight w:val="1340"/>
        </w:trPr>
        <w:tc>
          <w:tcPr>
            <w:tcW w:w="713" w:type="pct"/>
          </w:tcPr>
          <w:p w14:paraId="3A87F45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c. Accepted Risks</w:t>
            </w:r>
          </w:p>
        </w:tc>
        <w:tc>
          <w:tcPr>
            <w:tcW w:w="464" w:type="pct"/>
          </w:tcPr>
          <w:p w14:paraId="0CB5E45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risks formally accepted by authorised management.</w:t>
            </w:r>
          </w:p>
        </w:tc>
        <w:tc>
          <w:tcPr>
            <w:tcW w:w="563" w:type="pct"/>
          </w:tcPr>
          <w:p w14:paraId="390651B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Quarterly</w:t>
            </w:r>
          </w:p>
        </w:tc>
        <w:tc>
          <w:tcPr>
            <w:tcW w:w="537" w:type="pct"/>
          </w:tcPr>
          <w:p w14:paraId="4279F7C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Reporting metric</w:t>
            </w:r>
          </w:p>
        </w:tc>
        <w:tc>
          <w:tcPr>
            <w:tcW w:w="487" w:type="pct"/>
          </w:tcPr>
          <w:p w14:paraId="5C246C4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Risk log</w:t>
            </w:r>
          </w:p>
        </w:tc>
        <w:tc>
          <w:tcPr>
            <w:tcW w:w="270" w:type="pct"/>
            <w:shd w:val="clear" w:color="auto" w:fill="92D050"/>
          </w:tcPr>
          <w:p w14:paraId="5B281F1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GREEN</w:t>
            </w:r>
          </w:p>
        </w:tc>
        <w:tc>
          <w:tcPr>
            <w:tcW w:w="1028" w:type="pct"/>
          </w:tcPr>
          <w:p w14:paraId="7C59F252" w14:textId="7A8854BF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No formal risk acceptance decisions are recorded in the provided project baseline.</w:t>
            </w:r>
          </w:p>
        </w:tc>
        <w:tc>
          <w:tcPr>
            <w:tcW w:w="569" w:type="pct"/>
          </w:tcPr>
          <w:p w14:paraId="21B2258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No accepted-risk count is established; this remains a reporting metric.</w:t>
            </w:r>
          </w:p>
        </w:tc>
        <w:tc>
          <w:tcPr>
            <w:tcW w:w="371" w:type="pct"/>
          </w:tcPr>
          <w:p w14:paraId="4A56A20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65E021C3" w14:textId="77777777" w:rsidTr="00631B6E">
        <w:trPr>
          <w:trHeight w:val="785"/>
        </w:trPr>
        <w:tc>
          <w:tcPr>
            <w:tcW w:w="713" w:type="pct"/>
          </w:tcPr>
          <w:p w14:paraId="59A50C3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Change Management</w:t>
            </w:r>
          </w:p>
        </w:tc>
        <w:tc>
          <w:tcPr>
            <w:tcW w:w="464" w:type="pct"/>
          </w:tcPr>
          <w:p w14:paraId="2BD2355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Compliance of technology changes with the approved change management process.</w:t>
            </w:r>
          </w:p>
        </w:tc>
        <w:tc>
          <w:tcPr>
            <w:tcW w:w="563" w:type="pct"/>
          </w:tcPr>
          <w:p w14:paraId="3A54BCD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Monthly/Quarterly</w:t>
            </w:r>
          </w:p>
        </w:tc>
        <w:tc>
          <w:tcPr>
            <w:tcW w:w="537" w:type="pct"/>
          </w:tcPr>
          <w:p w14:paraId="5FDC8DF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 compliance</w:t>
            </w:r>
          </w:p>
        </w:tc>
        <w:tc>
          <w:tcPr>
            <w:tcW w:w="487" w:type="pct"/>
          </w:tcPr>
          <w:p w14:paraId="2B3E459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Change records</w:t>
            </w:r>
          </w:p>
        </w:tc>
        <w:tc>
          <w:tcPr>
            <w:tcW w:w="270" w:type="pct"/>
            <w:shd w:val="clear" w:color="auto" w:fill="EE0000"/>
          </w:tcPr>
          <w:p w14:paraId="32CA07D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RED</w:t>
            </w:r>
          </w:p>
        </w:tc>
        <w:tc>
          <w:tcPr>
            <w:tcW w:w="1028" w:type="pct"/>
          </w:tcPr>
          <w:p w14:paraId="0F00B967" w14:textId="2D3DB15D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 prior outage was caused by an engineer accidentally deleting a critical firewall rule during an update; dual review and rapid rollback were weak.</w:t>
            </w:r>
          </w:p>
        </w:tc>
        <w:tc>
          <w:tcPr>
            <w:tcW w:w="569" w:type="pct"/>
          </w:tcPr>
          <w:p w14:paraId="29D56E7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Change control and review practices require strengthening.</w:t>
            </w:r>
          </w:p>
        </w:tc>
        <w:tc>
          <w:tcPr>
            <w:tcW w:w="371" w:type="pct"/>
          </w:tcPr>
          <w:p w14:paraId="7BFAF6E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4B1C2EBF" w14:textId="77777777" w:rsidTr="00631B6E">
        <w:trPr>
          <w:trHeight w:val="1880"/>
        </w:trPr>
        <w:tc>
          <w:tcPr>
            <w:tcW w:w="713" w:type="pct"/>
          </w:tcPr>
          <w:p w14:paraId="627C284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a. Change Approval Compliance</w:t>
            </w:r>
          </w:p>
        </w:tc>
        <w:tc>
          <w:tcPr>
            <w:tcW w:w="464" w:type="pct"/>
          </w:tcPr>
          <w:p w14:paraId="50212D7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technology changes that followed the approved change management process.</w:t>
            </w:r>
          </w:p>
        </w:tc>
        <w:tc>
          <w:tcPr>
            <w:tcW w:w="563" w:type="pct"/>
          </w:tcPr>
          <w:p w14:paraId="23D9FEA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Monthly/Quarterly</w:t>
            </w:r>
          </w:p>
        </w:tc>
        <w:tc>
          <w:tcPr>
            <w:tcW w:w="537" w:type="pct"/>
          </w:tcPr>
          <w:p w14:paraId="7D0A3C8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 compliance</w:t>
            </w:r>
          </w:p>
        </w:tc>
        <w:tc>
          <w:tcPr>
            <w:tcW w:w="487" w:type="pct"/>
          </w:tcPr>
          <w:p w14:paraId="0CC00EC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Change records</w:t>
            </w:r>
          </w:p>
        </w:tc>
        <w:tc>
          <w:tcPr>
            <w:tcW w:w="270" w:type="pct"/>
            <w:shd w:val="clear" w:color="auto" w:fill="EE0000"/>
          </w:tcPr>
          <w:p w14:paraId="0E64F40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RED</w:t>
            </w:r>
          </w:p>
        </w:tc>
        <w:tc>
          <w:tcPr>
            <w:tcW w:w="1028" w:type="pct"/>
          </w:tcPr>
          <w:p w14:paraId="3F03FA7A" w14:textId="0B9C834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firewall change incident demonstrates a weakness in change review and control.</w:t>
            </w:r>
          </w:p>
        </w:tc>
        <w:tc>
          <w:tcPr>
            <w:tcW w:w="569" w:type="pct"/>
          </w:tcPr>
          <w:p w14:paraId="16AD02C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specifically identifies absence of dual review for the failed update.</w:t>
            </w:r>
          </w:p>
        </w:tc>
        <w:tc>
          <w:tcPr>
            <w:tcW w:w="371" w:type="pct"/>
          </w:tcPr>
          <w:p w14:paraId="0650215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249E4925" w14:textId="77777777" w:rsidTr="00631B6E">
        <w:trPr>
          <w:trHeight w:val="1055"/>
        </w:trPr>
        <w:tc>
          <w:tcPr>
            <w:tcW w:w="713" w:type="pct"/>
          </w:tcPr>
          <w:p w14:paraId="133A1FF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b. Unauthorized Changes</w:t>
            </w:r>
          </w:p>
        </w:tc>
        <w:tc>
          <w:tcPr>
            <w:tcW w:w="464" w:type="pct"/>
          </w:tcPr>
          <w:p w14:paraId="37E8302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Number of unauthorized technology changes detected.</w:t>
            </w:r>
          </w:p>
        </w:tc>
        <w:tc>
          <w:tcPr>
            <w:tcW w:w="563" w:type="pct"/>
          </w:tcPr>
          <w:p w14:paraId="618B11B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Monthly/Quarterly</w:t>
            </w:r>
          </w:p>
        </w:tc>
        <w:tc>
          <w:tcPr>
            <w:tcW w:w="537" w:type="pct"/>
          </w:tcPr>
          <w:p w14:paraId="2F338E5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Zero</w:t>
            </w:r>
          </w:p>
        </w:tc>
        <w:tc>
          <w:tcPr>
            <w:tcW w:w="487" w:type="pct"/>
          </w:tcPr>
          <w:p w14:paraId="67E993C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Change records</w:t>
            </w:r>
          </w:p>
        </w:tc>
        <w:tc>
          <w:tcPr>
            <w:tcW w:w="270" w:type="pct"/>
            <w:shd w:val="clear" w:color="auto" w:fill="FFC000"/>
          </w:tcPr>
          <w:p w14:paraId="70A56BA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631B6E">
              <w:rPr>
                <w:rFonts w:ascii="Aptos" w:hAnsi="Aptos"/>
                <w:sz w:val="18"/>
                <w:shd w:val="clear" w:color="auto" w:fill="FFC000"/>
              </w:rPr>
              <w:t>A</w:t>
            </w:r>
            <w:r>
              <w:rPr>
                <w:rFonts w:ascii="Aptos" w:hAnsi="Aptos"/>
                <w:sz w:val="18"/>
              </w:rPr>
              <w:t>MBER</w:t>
            </w:r>
          </w:p>
        </w:tc>
        <w:tc>
          <w:tcPr>
            <w:tcW w:w="1028" w:type="pct"/>
          </w:tcPr>
          <w:p w14:paraId="06D6F4CA" w14:textId="51F2F4C8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No current count is provided; the case study documents one significant change-related outage.</w:t>
            </w:r>
          </w:p>
        </w:tc>
        <w:tc>
          <w:tcPr>
            <w:tcW w:w="569" w:type="pct"/>
          </w:tcPr>
          <w:p w14:paraId="7F79A56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Current unauthorized change monitoring is not quantified.</w:t>
            </w:r>
          </w:p>
        </w:tc>
        <w:tc>
          <w:tcPr>
            <w:tcW w:w="371" w:type="pct"/>
          </w:tcPr>
          <w:p w14:paraId="78CB26D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6171830B" w14:textId="77777777" w:rsidTr="00631B6E">
        <w:trPr>
          <w:trHeight w:val="1880"/>
        </w:trPr>
        <w:tc>
          <w:tcPr>
            <w:tcW w:w="713" w:type="pct"/>
          </w:tcPr>
          <w:p w14:paraId="6768E31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lastRenderedPageBreak/>
              <w:t>BC/DR Testing</w:t>
            </w:r>
          </w:p>
        </w:tc>
        <w:tc>
          <w:tcPr>
            <w:tcW w:w="464" w:type="pct"/>
          </w:tcPr>
          <w:p w14:paraId="3DDCAA3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Number and results of business continuity and disaster recovery tests.</w:t>
            </w:r>
          </w:p>
        </w:tc>
        <w:tc>
          <w:tcPr>
            <w:tcW w:w="563" w:type="pct"/>
          </w:tcPr>
          <w:p w14:paraId="557BF1E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Annually</w:t>
            </w:r>
          </w:p>
        </w:tc>
        <w:tc>
          <w:tcPr>
            <w:tcW w:w="537" w:type="pct"/>
          </w:tcPr>
          <w:p w14:paraId="0EFBFB8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At least one test completed</w:t>
            </w:r>
          </w:p>
        </w:tc>
        <w:tc>
          <w:tcPr>
            <w:tcW w:w="487" w:type="pct"/>
          </w:tcPr>
          <w:p w14:paraId="73EDC80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BC/DR test records</w:t>
            </w:r>
          </w:p>
        </w:tc>
        <w:tc>
          <w:tcPr>
            <w:tcW w:w="270" w:type="pct"/>
            <w:shd w:val="clear" w:color="auto" w:fill="FFC000"/>
          </w:tcPr>
          <w:p w14:paraId="5E195F8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0420A2A6" w14:textId="151EEA90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bank has a Jeddah disaster recovery centre, but the case study does not provide a completed test result.</w:t>
            </w:r>
          </w:p>
        </w:tc>
        <w:tc>
          <w:tcPr>
            <w:tcW w:w="569" w:type="pct"/>
          </w:tcPr>
          <w:p w14:paraId="730C5A9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Testing evidence must be recorded and reviewed.</w:t>
            </w:r>
          </w:p>
        </w:tc>
        <w:tc>
          <w:tcPr>
            <w:tcW w:w="371" w:type="pct"/>
          </w:tcPr>
          <w:p w14:paraId="3BFC847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34C650FD" w14:textId="77777777" w:rsidTr="00631B6E">
        <w:trPr>
          <w:trHeight w:val="1340"/>
        </w:trPr>
        <w:tc>
          <w:tcPr>
            <w:tcW w:w="713" w:type="pct"/>
          </w:tcPr>
          <w:p w14:paraId="5ABD2C5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Asset Inventory Accuracy</w:t>
            </w:r>
          </w:p>
        </w:tc>
        <w:tc>
          <w:tcPr>
            <w:tcW w:w="464" w:type="pct"/>
          </w:tcPr>
          <w:p w14:paraId="265ADC4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scoped information and technology assets classified and assigned an owner.</w:t>
            </w:r>
          </w:p>
        </w:tc>
        <w:tc>
          <w:tcPr>
            <w:tcW w:w="563" w:type="pct"/>
          </w:tcPr>
          <w:p w14:paraId="06C22F8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Quarterly</w:t>
            </w:r>
          </w:p>
        </w:tc>
        <w:tc>
          <w:tcPr>
            <w:tcW w:w="537" w:type="pct"/>
          </w:tcPr>
          <w:p w14:paraId="62A5C7F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 of scoped assets</w:t>
            </w:r>
          </w:p>
        </w:tc>
        <w:tc>
          <w:tcPr>
            <w:tcW w:w="487" w:type="pct"/>
          </w:tcPr>
          <w:p w14:paraId="0CF5805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Asset inventory records</w:t>
            </w:r>
          </w:p>
        </w:tc>
        <w:tc>
          <w:tcPr>
            <w:tcW w:w="270" w:type="pct"/>
            <w:shd w:val="clear" w:color="auto" w:fill="FFC000"/>
          </w:tcPr>
          <w:p w14:paraId="4EA392C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AMBER</w:t>
            </w:r>
          </w:p>
        </w:tc>
        <w:tc>
          <w:tcPr>
            <w:tcW w:w="1028" w:type="pct"/>
          </w:tcPr>
          <w:p w14:paraId="41484345" w14:textId="0E72368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provides a detailed asset description but does not state inventory completion or ownership percentages.</w:t>
            </w:r>
          </w:p>
        </w:tc>
        <w:tc>
          <w:tcPr>
            <w:tcW w:w="569" w:type="pct"/>
          </w:tcPr>
          <w:p w14:paraId="0C498F7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asset baseline should be converted into a controlled inventory.</w:t>
            </w:r>
          </w:p>
        </w:tc>
        <w:tc>
          <w:tcPr>
            <w:tcW w:w="371" w:type="pct"/>
          </w:tcPr>
          <w:p w14:paraId="7D11F3E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66275085" w14:textId="77777777" w:rsidTr="00631B6E">
        <w:trPr>
          <w:trHeight w:val="1610"/>
        </w:trPr>
        <w:tc>
          <w:tcPr>
            <w:tcW w:w="713" w:type="pct"/>
          </w:tcPr>
          <w:p w14:paraId="371DC7C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Vulnerability Remediation</w:t>
            </w:r>
          </w:p>
        </w:tc>
        <w:tc>
          <w:tcPr>
            <w:tcW w:w="464" w:type="pct"/>
          </w:tcPr>
          <w:p w14:paraId="0C85531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identified vulnerabilities resolved within the defined remediation timeframe.</w:t>
            </w:r>
          </w:p>
        </w:tc>
        <w:tc>
          <w:tcPr>
            <w:tcW w:w="563" w:type="pct"/>
          </w:tcPr>
          <w:p w14:paraId="71D2601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Monthly/Quarterly</w:t>
            </w:r>
          </w:p>
        </w:tc>
        <w:tc>
          <w:tcPr>
            <w:tcW w:w="537" w:type="pct"/>
          </w:tcPr>
          <w:p w14:paraId="2EBE3DE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 of critical vulnerabilities</w:t>
            </w:r>
          </w:p>
        </w:tc>
        <w:tc>
          <w:tcPr>
            <w:tcW w:w="487" w:type="pct"/>
          </w:tcPr>
          <w:p w14:paraId="5359D36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Vulnerability scan reports</w:t>
            </w:r>
          </w:p>
        </w:tc>
        <w:tc>
          <w:tcPr>
            <w:tcW w:w="270" w:type="pct"/>
            <w:shd w:val="clear" w:color="auto" w:fill="EE0000"/>
          </w:tcPr>
          <w:p w14:paraId="301DCB9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RED</w:t>
            </w:r>
          </w:p>
        </w:tc>
        <w:tc>
          <w:tcPr>
            <w:tcW w:w="1028" w:type="pct"/>
          </w:tcPr>
          <w:p w14:paraId="38102CBA" w14:textId="74425758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Three high-risk Afaq Plus vulnerabilities were identified; two were fixed and one remained unresolved, giving 67% high-risk remediation.</w:t>
            </w:r>
          </w:p>
        </w:tc>
        <w:tc>
          <w:tcPr>
            <w:tcW w:w="569" w:type="pct"/>
          </w:tcPr>
          <w:p w14:paraId="5F909D4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remaining high-risk issue and outstanding medium findings require follow-up.</w:t>
            </w:r>
          </w:p>
        </w:tc>
        <w:tc>
          <w:tcPr>
            <w:tcW w:w="371" w:type="pct"/>
          </w:tcPr>
          <w:p w14:paraId="49EEB87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0B823455" w14:textId="77777777" w:rsidTr="00631B6E">
        <w:trPr>
          <w:trHeight w:val="1610"/>
        </w:trPr>
        <w:tc>
          <w:tcPr>
            <w:tcW w:w="713" w:type="pct"/>
          </w:tcPr>
          <w:p w14:paraId="0D48ED5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t>Documentation Review Compliance</w:t>
            </w:r>
          </w:p>
        </w:tc>
        <w:tc>
          <w:tcPr>
            <w:tcW w:w="464" w:type="pct"/>
          </w:tcPr>
          <w:p w14:paraId="41C6C39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ISMS documents reviewed and updated according to schedule.</w:t>
            </w:r>
          </w:p>
        </w:tc>
        <w:tc>
          <w:tcPr>
            <w:tcW w:w="563" w:type="pct"/>
          </w:tcPr>
          <w:p w14:paraId="014ADB5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Annually</w:t>
            </w:r>
          </w:p>
        </w:tc>
        <w:tc>
          <w:tcPr>
            <w:tcW w:w="537" w:type="pct"/>
          </w:tcPr>
          <w:p w14:paraId="2FCD5DC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 reviewed</w:t>
            </w:r>
          </w:p>
        </w:tc>
        <w:tc>
          <w:tcPr>
            <w:tcW w:w="487" w:type="pct"/>
          </w:tcPr>
          <w:p w14:paraId="7492F4C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ISMS documentation review records</w:t>
            </w:r>
          </w:p>
        </w:tc>
        <w:tc>
          <w:tcPr>
            <w:tcW w:w="270" w:type="pct"/>
            <w:shd w:val="clear" w:color="auto" w:fill="EE0000"/>
          </w:tcPr>
          <w:p w14:paraId="23B5E9A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RED</w:t>
            </w:r>
          </w:p>
        </w:tc>
        <w:tc>
          <w:tcPr>
            <w:tcW w:w="1028" w:type="pct"/>
          </w:tcPr>
          <w:p w14:paraId="44C5740F" w14:textId="021967F6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identifies outdated policies and generally weak documentation.</w:t>
            </w:r>
          </w:p>
        </w:tc>
        <w:tc>
          <w:tcPr>
            <w:tcW w:w="569" w:type="pct"/>
          </w:tcPr>
          <w:p w14:paraId="66024C1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Documentation governance and scheduled review require improvement.</w:t>
            </w:r>
          </w:p>
        </w:tc>
        <w:tc>
          <w:tcPr>
            <w:tcW w:w="371" w:type="pct"/>
          </w:tcPr>
          <w:p w14:paraId="012F37F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  <w:tr w:rsidR="008D2BD9" w:rsidRPr="008D2BD9" w14:paraId="768E8D3E" w14:textId="77777777" w:rsidTr="00631B6E">
        <w:trPr>
          <w:trHeight w:val="1880"/>
        </w:trPr>
        <w:tc>
          <w:tcPr>
            <w:tcW w:w="713" w:type="pct"/>
          </w:tcPr>
          <w:p w14:paraId="1D1E463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</w:rPr>
              <w:lastRenderedPageBreak/>
              <w:t>Access Deactivation Compliance</w:t>
            </w:r>
          </w:p>
        </w:tc>
        <w:tc>
          <w:tcPr>
            <w:tcW w:w="464" w:type="pct"/>
          </w:tcPr>
          <w:p w14:paraId="2D77BCA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Percentage of terminated personnel whose access is deactivated within the defined SLA.</w:t>
            </w:r>
          </w:p>
        </w:tc>
        <w:tc>
          <w:tcPr>
            <w:tcW w:w="563" w:type="pct"/>
          </w:tcPr>
          <w:p w14:paraId="658E062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Monthly/Quarterly</w:t>
            </w:r>
          </w:p>
        </w:tc>
        <w:tc>
          <w:tcPr>
            <w:tcW w:w="537" w:type="pct"/>
          </w:tcPr>
          <w:p w14:paraId="148E414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100% within 24 hours</w:t>
            </w:r>
          </w:p>
        </w:tc>
        <w:tc>
          <w:tcPr>
            <w:tcW w:w="487" w:type="pct"/>
          </w:tcPr>
          <w:p w14:paraId="306AE06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Access records</w:t>
            </w:r>
          </w:p>
        </w:tc>
        <w:tc>
          <w:tcPr>
            <w:tcW w:w="270" w:type="pct"/>
            <w:shd w:val="clear" w:color="auto" w:fill="FFC000"/>
          </w:tcPr>
          <w:p w14:paraId="2BF7550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631B6E">
              <w:rPr>
                <w:rFonts w:ascii="Aptos" w:hAnsi="Aptos"/>
                <w:sz w:val="18"/>
                <w:shd w:val="clear" w:color="auto" w:fill="FFC000"/>
              </w:rPr>
              <w:t>AMBER</w:t>
            </w:r>
          </w:p>
        </w:tc>
        <w:tc>
          <w:tcPr>
            <w:tcW w:w="1028" w:type="pct"/>
          </w:tcPr>
          <w:p w14:paraId="0F300F03" w14:textId="14D0DE92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The case study does not provide a termination-access deactivation percentage.</w:t>
            </w:r>
          </w:p>
        </w:tc>
        <w:tc>
          <w:tcPr>
            <w:tcW w:w="569" w:type="pct"/>
          </w:tcPr>
          <w:p w14:paraId="41BCAB0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A measurable baseline and evidence set are required.</w:t>
            </w:r>
          </w:p>
        </w:tc>
        <w:tc>
          <w:tcPr>
            <w:tcW w:w="371" w:type="pct"/>
          </w:tcPr>
          <w:p w14:paraId="7DF9E33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</w:rPr>
              <w:t>13 September 2026</w:t>
            </w:r>
          </w:p>
        </w:tc>
      </w:tr>
    </w:tbl>
    <w:p w14:paraId="55CD82D3" w14:textId="77777777" w:rsidR="003D12FC" w:rsidRPr="008D2BD9" w:rsidRDefault="003D12FC">
      <w:pPr>
        <w:jc w:val="both"/>
        <w:rPr>
          <w:rFonts w:ascii="Aptos" w:hAnsi="Aptos"/>
        </w:rPr>
      </w:pPr>
    </w:p>
    <w:sectPr w:rsidR="003D12FC" w:rsidRPr="008D2BD9">
      <w:pgSz w:w="16838" w:h="11906" w:orient="landscape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76B7" w14:textId="77777777" w:rsidR="00C32C84" w:rsidRDefault="00C32C84">
      <w:pPr>
        <w:spacing w:line="240" w:lineRule="auto"/>
      </w:pPr>
      <w:r>
        <w:separator/>
      </w:r>
    </w:p>
  </w:endnote>
  <w:endnote w:type="continuationSeparator" w:id="0">
    <w:p w14:paraId="1D49F25D" w14:textId="77777777" w:rsidR="00C32C84" w:rsidRDefault="00C32C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EB2E9" w14:textId="77777777" w:rsidR="00C32C84" w:rsidRDefault="00C32C84">
      <w:pPr>
        <w:spacing w:line="240" w:lineRule="auto"/>
      </w:pPr>
      <w:r>
        <w:separator/>
      </w:r>
    </w:p>
  </w:footnote>
  <w:footnote w:type="continuationSeparator" w:id="0">
    <w:p w14:paraId="36F9B621" w14:textId="77777777" w:rsidR="00C32C84" w:rsidRDefault="00C32C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93737"/>
    <w:multiLevelType w:val="hybridMultilevel"/>
    <w:tmpl w:val="4C723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07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xtDS3NDexNDQ2MjNQ0lEKTi0uzszPAykwrgUAWrczRSwAAAA="/>
  </w:docVars>
  <w:rsids>
    <w:rsidRoot w:val="003D12FC"/>
    <w:rsid w:val="0018387B"/>
    <w:rsid w:val="00273511"/>
    <w:rsid w:val="003D12FC"/>
    <w:rsid w:val="00446C08"/>
    <w:rsid w:val="004A23F8"/>
    <w:rsid w:val="00631B6E"/>
    <w:rsid w:val="00703324"/>
    <w:rsid w:val="00887C5F"/>
    <w:rsid w:val="008D2BD9"/>
    <w:rsid w:val="009F57BE"/>
    <w:rsid w:val="00C32C84"/>
    <w:rsid w:val="00D71AF4"/>
    <w:rsid w:val="00DA2A9E"/>
    <w:rsid w:val="00F9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1348D"/>
  <w15:docId w15:val="{55F0BFE4-4223-4308-B86B-06707122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BD9"/>
  </w:style>
  <w:style w:type="paragraph" w:styleId="Heading1">
    <w:name w:val="heading 1"/>
    <w:basedOn w:val="Normal"/>
    <w:next w:val="Normal"/>
    <w:link w:val="Heading1Char"/>
    <w:uiPriority w:val="9"/>
    <w:qFormat/>
    <w:rsid w:val="008D2BD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BD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BD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D2BD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D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1F0C8"/>
    </w:tcPr>
    <w:tblStylePr w:type="firstRow">
      <w:rPr>
        <w:b/>
        <w:color w:val="FFFFFF"/>
      </w:rPr>
      <w:tblPr/>
      <w:tcPr>
        <w:tcBorders>
          <w:top w:val="single" w:sz="4" w:space="0" w:color="0F9ED5"/>
          <w:left w:val="single" w:sz="4" w:space="0" w:color="0F9ED5"/>
          <w:bottom w:val="single" w:sz="4" w:space="0" w:color="0F9ED5"/>
          <w:right w:val="single" w:sz="4" w:space="0" w:color="0F9ED5"/>
          <w:insideH w:val="nil"/>
          <w:insideV w:val="nil"/>
        </w:tcBorders>
        <w:shd w:val="clear" w:color="auto" w:fill="0F9ED5"/>
      </w:tcPr>
    </w:tblStylePr>
    <w:tblStylePr w:type="lastRow">
      <w:rPr>
        <w:b/>
      </w:rPr>
      <w:tblPr/>
      <w:tcPr>
        <w:tcBorders>
          <w:top w:val="single" w:sz="4" w:space="0" w:color="0F9E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AEDFB"/>
      </w:tcPr>
    </w:tblStylePr>
    <w:tblStylePr w:type="band1Horz">
      <w:tblPr/>
      <w:tcPr>
        <w:shd w:val="clear" w:color="auto" w:fill="CAEDFB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87C5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C5F"/>
  </w:style>
  <w:style w:type="paragraph" w:styleId="Footer">
    <w:name w:val="footer"/>
    <w:basedOn w:val="Normal"/>
    <w:link w:val="FooterChar"/>
    <w:uiPriority w:val="99"/>
    <w:unhideWhenUsed/>
    <w:rsid w:val="00887C5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C5F"/>
  </w:style>
  <w:style w:type="paragraph" w:styleId="ListParagraph">
    <w:name w:val="List Paragraph"/>
    <w:basedOn w:val="Normal"/>
    <w:uiPriority w:val="34"/>
    <w:qFormat/>
    <w:rsid w:val="008D2BD9"/>
    <w:pPr>
      <w:ind w:left="720"/>
      <w:contextualSpacing/>
    </w:pPr>
  </w:style>
  <w:style w:type="table" w:styleId="TableGrid">
    <w:name w:val="Table Grid"/>
    <w:basedOn w:val="TableNormal"/>
    <w:uiPriority w:val="39"/>
    <w:rsid w:val="008D2B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D2B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2BD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D2BD9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D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D9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D9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D9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D9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D9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2BD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8D2BD9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D2BD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D2BD9"/>
    <w:rPr>
      <w:b/>
      <w:bCs/>
    </w:rPr>
  </w:style>
  <w:style w:type="character" w:styleId="Emphasis">
    <w:name w:val="Emphasis"/>
    <w:basedOn w:val="DefaultParagraphFont"/>
    <w:uiPriority w:val="20"/>
    <w:qFormat/>
    <w:rsid w:val="008D2BD9"/>
    <w:rPr>
      <w:i/>
      <w:iCs/>
    </w:rPr>
  </w:style>
  <w:style w:type="paragraph" w:styleId="NoSpacing">
    <w:name w:val="No Spacing"/>
    <w:uiPriority w:val="1"/>
    <w:qFormat/>
    <w:rsid w:val="008D2BD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D2BD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D9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D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D2BD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D2BD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D2BD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D2BD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D2BD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2BD9"/>
    <w:pPr>
      <w:outlineLvl w:val="9"/>
    </w:pPr>
  </w:style>
  <w:style w:type="table" w:styleId="ListTable3-Accent1">
    <w:name w:val="List Table 3 Accent 1"/>
    <w:basedOn w:val="TableNormal"/>
    <w:uiPriority w:val="48"/>
    <w:rsid w:val="008D2BD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8D2B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D2B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2BD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D2BD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B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FF774-AE01-468E-90D6-0A5017A2B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1626</Words>
  <Characters>9269</Characters>
  <Application>Microsoft Office Word</Application>
  <DocSecurity>0</DocSecurity>
  <Lines>77</Lines>
  <Paragraphs>21</Paragraphs>
  <ScaleCrop>false</ScaleCrop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Al-Afaq Digital Bank - ISMS Performance Report</dc:title>
  <dc:subject>ISO/IEC 27001 ISMS Performance Monitoring</dc:subject>
  <dc:creator>Shiban Mohammed Ali Hussein Shiban</dc:creator>
  <cp:keywords>ISO 27001, ISMS, Performance Report, Al-Afaq Digital Bank</cp:keywords>
  <cp:lastModifiedBy>shiban mohammed</cp:lastModifiedBy>
  <cp:revision>3</cp:revision>
  <dcterms:created xsi:type="dcterms:W3CDTF">2025-02-07T16:38:00Z</dcterms:created>
  <dcterms:modified xsi:type="dcterms:W3CDTF">2026-09-12T22:11:00Z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22cbf104-2ac3-4518-85ae-5069655dfb28</vt:lpwstr>
  </property>
</Properties>
</file>