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text" w:horzAnchor="margin" w:tblpXSpec="right" w:leftFromText="180" w:rightFromText="180" w:tblpY="86"/>
        <w:tblW w:w="6238" w:type="dxa"/>
        <w:jc w:val="right"/>
        <w:tblInd w:w="0" w:type="dxa"/>
        <w:tblLayout w:type="fixed"/>
        <w:tblCellMar>
          <w:top w:w="28" w:type="dxa"/>
          <w:left w:w="108" w:type="dxa"/>
          <w:bottom w:w="28" w:type="dxa"/>
          <w:right w:w="108" w:type="dxa"/>
        </w:tblCellMar>
        <w:tblLook w:val="04a0" w:noHBand="0" w:noVBand="1" w:firstColumn="1" w:lastRow="0" w:lastColumn="0" w:firstRow="1"/>
      </w:tblPr>
      <w:tblGrid>
        <w:gridCol w:w="2689"/>
        <w:gridCol w:w="3548"/>
      </w:tblGrid>
      <w:tr>
        <w:trPr>
          <w:trHeight w:val="50" w:hRule="atLeast"/>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CLASSIFICATION</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sdt>
              <w:sdtPr>
                <w:placeholder>
                  <w:docPart w:val="2D3A53425E4D446CB00BCB6A89E9B8E0"/>
                </w:placeholder>
                <w:alias w:val="Insert classification"/>
                <w:tag w:val="Insert classification"/>
                <w:id w:val="697902785"/>
              </w:sdtPr>
              <w:sdtContent>
                <w:r>
                  <w:rPr>
                    <w:rStyle w:val="Classification"/>
                    <w:rFonts w:eastAsia="Times New Roman" w:cs="Times New Roman"/>
                    <w:kern w:val="0"/>
                    <w:szCs w:val="24"/>
                    <w:lang w:val="en-GB" w:eastAsia="en-US" w:bidi="ar-SA"/>
                  </w:rPr>
                </w:r>
                <w:r>
                  <w:rPr>
                    <w:rStyle w:val="Classification"/>
                    <w:rFonts w:eastAsia="Times New Roman" w:cs="Times New Roman"/>
                    <w:kern w:val="0"/>
                    <w:szCs w:val="24"/>
                    <w:lang w:val="en-GB" w:eastAsia="en-US" w:bidi="ar-SA"/>
                  </w:rPr>
                  <w:t>Internal</w:t>
                </w:r>
              </w:sdtContent>
            </w:sdt>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REF</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ISMS-DOC-05-4</w:t>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VERSION</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sdt>
              <w:sdtPr>
                <w:placeholder>
                  <w:docPart w:val="2D3A53425E4D446CB00BCB6A89E9B8E0"/>
                </w:placeholder>
                <w:alias w:val="Version number"/>
                <w:tag w:val="Version number"/>
                <w:id w:val="1374806584"/>
                <w:text/>
              </w:sdtPr>
              <w:sdtContent>
                <w:r>
                  <w:rPr>
                    <w:rStyle w:val="Versionnumber"/>
                    <w:rFonts w:eastAsia="Times New Roman" w:cs="Times New Roman"/>
                    <w:kern w:val="0"/>
                    <w:szCs w:val="24"/>
                    <w:lang w:val="en-GB" w:eastAsia="en-US" w:bidi="ar-SA"/>
                  </w:rPr>
                </w:r>
                <w:r>
                  <w:rPr>
                    <w:rStyle w:val="Versionnumber"/>
                    <w:rFonts w:eastAsia="Times New Roman" w:cs="Times New Roman"/>
                    <w:kern w:val="0"/>
                    <w:szCs w:val="24"/>
                    <w:lang w:val="en-GB" w:eastAsia="en-US" w:bidi="ar-SA"/>
                  </w:rPr>
                  <w:t>1</w:t>
                </w:r>
              </w:sdtContent>
            </w:sdt>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DATED</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sdt>
              <w:sdtPr>
                <w:date w:fullDate="2026-09-12T00:00:00Z">
                  <w:dateFormat w:val="dd MMMM yyyy"/>
                  <w:lid w:val="en-GB"/>
                  <w:storeMappedDataAs w:val="dateTime"/>
                  <w:calendar w:val="gregorian"/>
                </w:date>
                <w:id w:val="506250714"/>
                <w:placeholder>
                  <w:docPart w:val="BB316B96C5864064A972B2CA55349196"/>
                </w:placeholder>
              </w:sdtPr>
              <w:sdtContent>
                <w:r>
                  <w:rPr>
                    <w:rStyle w:val="ToolkitDate"/>
                    <w:rFonts w:eastAsia="Times New Roman" w:cs="Times New Roman"/>
                    <w:kern w:val="0"/>
                    <w:szCs w:val="24"/>
                    <w:lang w:val="en-GB" w:eastAsia="en-US" w:bidi="ar-SA"/>
                  </w:rPr>
                </w:r>
                <w:r>
                  <w:rPr>
                    <w:rStyle w:val="ToolkitDate"/>
                    <w:rFonts w:eastAsia="Times New Roman" w:cs="Times New Roman"/>
                    <w:kern w:val="0"/>
                    <w:szCs w:val="24"/>
                    <w:lang w:val="en-GB" w:eastAsia="en-US" w:bidi="ar-SA"/>
                  </w:rPr>
                  <w:t>12 September 2026</w:t>
                </w:r>
                <w:r/>
              </w:sdtContent>
            </w:sdt>
            <w:r>
              <w:rPr>
                <w:rStyle w:val="ToolkitDate"/>
                <w:rFonts w:eastAsia="Times New Roman" w:cs="Times New Roman"/>
                <w:kern w:val="0"/>
                <w:szCs w:val="24"/>
                <w:lang w:val="en-GB" w:eastAsia="en-US" w:bidi="ar-SA"/>
              </w:rPr>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AUTHOR</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Eyad , Shiban , Bashar , Rayan , Alshreef</w:t>
            </w:r>
          </w:p>
        </w:tc>
      </w:tr>
      <w:tr>
        <w:trPr/>
        <w:tc>
          <w:tcPr>
            <w:tcW w:w="2689" w:type="dxa"/>
            <w:tcBorders/>
            <w:shd w:color="auto" w:fill="009BA4" w:themeFill="text2" w:val="clear"/>
            <w:vAlign w:val="center"/>
          </w:tcPr>
          <w:p>
            <w:pPr>
              <w:pStyle w:val="TitlePageTableHeader"/>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DOCUMENT OWNER</w:t>
            </w:r>
          </w:p>
        </w:tc>
        <w:tc>
          <w:tcPr>
            <w:tcW w:w="3548" w:type="dxa"/>
            <w:tcBorders/>
            <w:shd w:color="auto" w:fill="FFFFFF" w:themeFill="background1" w:val="clear"/>
            <w:vAlign w:val="center"/>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Sarah Al-Harbi, Chief Information Security Officer</w:t>
            </w:r>
            <w:bookmarkStart w:id="0" w:name="_Hlk11063652"/>
            <w:bookmarkEnd w:id="0"/>
          </w:p>
        </w:tc>
      </w:tr>
    </w:tbl>
    <w:p>
      <w:pPr>
        <w:pStyle w:val="HeadingX"/>
        <w:spacing w:before="240" w:after="240"/>
        <w:rPr/>
      </w:pPr>
      <w:r/>
      <w:r>
        <w:rPr/>
        <w:t>Revision history</w:t>
      </w:r>
    </w:p>
    <w:tbl>
      <w:tblPr>
        <w:tblStyle w:val="TableGrid"/>
        <w:tblW w:w="892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988"/>
        <w:gridCol w:w="991"/>
        <w:gridCol w:w="2126"/>
        <w:gridCol w:w="4820"/>
      </w:tblGrid>
      <w:tr>
        <w:trPr/>
        <w:tc>
          <w:tcPr>
            <w:tcW w:w="988"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VERSION</w:t>
            </w:r>
          </w:p>
        </w:tc>
        <w:tc>
          <w:tcPr>
            <w:tcW w:w="991"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w:t>
            </w:r>
          </w:p>
        </w:tc>
        <w:tc>
          <w:tcPr>
            <w:tcW w:w="212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REVISION AUTHOR</w:t>
            </w:r>
          </w:p>
        </w:tc>
        <w:tc>
          <w:tcPr>
            <w:tcW w:w="4820"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SUMMARY OF CHANGES</w:t>
            </w:r>
          </w:p>
        </w:tc>
      </w:tr>
      <w:tr>
        <w:trPr/>
        <w:tc>
          <w:tcPr>
            <w:tcW w:w="988"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1.0</w:t>
            </w:r>
          </w:p>
        </w:tc>
        <w:tc>
          <w:tcPr>
            <w:tcW w:w="991"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12 September 2026</w:t>
            </w:r>
          </w:p>
        </w:tc>
        <w:tc>
          <w:tcPr>
            <w:tcW w:w="2126"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Shiban Mohammed Ali Hussein Shiban</w:t>
            </w:r>
          </w:p>
        </w:tc>
        <w:tc>
          <w:tcPr>
            <w:tcW w:w="4820"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Initial issue for the Al-Afaq Digital Bank ISMS</w:t>
            </w:r>
          </w:p>
        </w:tc>
      </w:tr>
      <w:tr>
        <w:trPr/>
        <w:tc>
          <w:tcPr>
            <w:tcW w:w="988"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1.0</w:t>
            </w:r>
          </w:p>
        </w:tc>
        <w:tc>
          <w:tcPr>
            <w:tcW w:w="991"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12 September 2026</w:t>
            </w:r>
          </w:p>
        </w:tc>
        <w:tc>
          <w:tcPr>
            <w:tcW w:w="2126"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Sarah Al-Harbi</w:t>
            </w:r>
          </w:p>
        </w:tc>
        <w:tc>
          <w:tcPr>
            <w:tcW w:w="4820"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Management review and approval</w:t>
            </w:r>
          </w:p>
        </w:tc>
      </w:tr>
      <w:tr>
        <w:trPr/>
        <w:tc>
          <w:tcPr>
            <w:tcW w:w="988"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1.0</w:t>
            </w:r>
          </w:p>
        </w:tc>
        <w:tc>
          <w:tcPr>
            <w:tcW w:w="991"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12 September 2026</w:t>
            </w:r>
          </w:p>
        </w:tc>
        <w:tc>
          <w:tcPr>
            <w:tcW w:w="2126"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Dr. Noura Al-Qahtani</w:t>
            </w:r>
          </w:p>
        </w:tc>
        <w:tc>
          <w:tcPr>
            <w:tcW w:w="4820"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Executive approval</w:t>
            </w:r>
          </w:p>
        </w:tc>
      </w:tr>
    </w:tbl>
    <w:p>
      <w:pPr>
        <w:pStyle w:val="Normal"/>
        <w:rPr/>
      </w:pPr>
      <w:r>
        <w:rPr/>
      </w:r>
    </w:p>
    <w:p>
      <w:pPr>
        <w:pStyle w:val="HeadingX"/>
        <w:rPr/>
      </w:pPr>
      <w:r>
        <w:rPr/>
        <w:t>Distribution</w:t>
      </w:r>
    </w:p>
    <w:tbl>
      <w:tblPr>
        <w:tblStyle w:val="TableGrid"/>
        <w:tblW w:w="892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4389"/>
        <w:gridCol w:w="4536"/>
      </w:tblGrid>
      <w:tr>
        <w:trPr/>
        <w:tc>
          <w:tcPr>
            <w:tcW w:w="438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NAME</w:t>
            </w:r>
          </w:p>
        </w:tc>
        <w:tc>
          <w:tcPr>
            <w:tcW w:w="4536"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TITLE</w:t>
            </w:r>
          </w:p>
        </w:tc>
      </w:tr>
      <w:tr>
        <w:trPr/>
        <w:tc>
          <w:tcPr>
            <w:tcW w:w="438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Dr. Noura Al-Qahtani</w:t>
            </w:r>
          </w:p>
        </w:tc>
        <w:tc>
          <w:tcPr>
            <w:tcW w:w="4536"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Chief Executive Officer</w:t>
            </w:r>
          </w:p>
        </w:tc>
      </w:tr>
      <w:tr>
        <w:trPr/>
        <w:tc>
          <w:tcPr>
            <w:tcW w:w="438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Sarah Al-Harbi</w:t>
            </w:r>
          </w:p>
        </w:tc>
        <w:tc>
          <w:tcPr>
            <w:tcW w:w="4536"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Chief Information Security Officer</w:t>
            </w:r>
          </w:p>
        </w:tc>
      </w:tr>
      <w:tr>
        <w:trPr/>
        <w:tc>
          <w:tcPr>
            <w:tcW w:w="438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Ahmed Al-Ghamdi</w:t>
            </w:r>
          </w:p>
        </w:tc>
        <w:tc>
          <w:tcPr>
            <w:tcW w:w="4536"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Head of Internal Audit</w:t>
            </w:r>
            <w:bookmarkStart w:id="1" w:name="_Hlk17369938"/>
            <w:bookmarkEnd w:id="1"/>
          </w:p>
        </w:tc>
      </w:tr>
    </w:tbl>
    <w:p>
      <w:pPr>
        <w:pStyle w:val="Normal"/>
        <w:rPr/>
      </w:pPr>
      <w:r>
        <w:rPr/>
      </w:r>
    </w:p>
    <w:p>
      <w:pPr>
        <w:pStyle w:val="HeadingX"/>
        <w:rPr/>
      </w:pPr>
      <w:r>
        <w:rPr/>
        <w:t>Approval</w:t>
      </w:r>
    </w:p>
    <w:tbl>
      <w:tblPr>
        <w:tblStyle w:val="TableGrid"/>
        <w:tblW w:w="892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2262"/>
        <w:gridCol w:w="2127"/>
        <w:gridCol w:w="2693"/>
        <w:gridCol w:w="1843"/>
      </w:tblGrid>
      <w:tr>
        <w:trPr/>
        <w:tc>
          <w:tcPr>
            <w:tcW w:w="2262"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NAME</w:t>
            </w:r>
          </w:p>
        </w:tc>
        <w:tc>
          <w:tcPr>
            <w:tcW w:w="2127"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POSITION</w:t>
            </w:r>
          </w:p>
        </w:tc>
        <w:tc>
          <w:tcPr>
            <w:tcW w:w="269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SIGNATURE</w:t>
            </w:r>
          </w:p>
        </w:tc>
        <w:tc>
          <w:tcPr>
            <w:tcW w:w="1843"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DATE</w:t>
            </w:r>
          </w:p>
        </w:tc>
      </w:tr>
      <w:tr>
        <w:trPr/>
        <w:tc>
          <w:tcPr>
            <w:tcW w:w="226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Dr. Noura Al-Qahtani</w:t>
            </w:r>
          </w:p>
        </w:tc>
        <w:tc>
          <w:tcPr>
            <w:tcW w:w="2127"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Approved electronically</w:t>
            </w:r>
          </w:p>
        </w:tc>
        <w:tc>
          <w:tcPr>
            <w:tcW w:w="1843"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12 September 2026</w:t>
            </w:r>
          </w:p>
        </w:tc>
      </w:tr>
      <w:tr>
        <w:trPr/>
        <w:tc>
          <w:tcPr>
            <w:tcW w:w="226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Sarah Al-Harbi</w:t>
            </w:r>
          </w:p>
        </w:tc>
        <w:tc>
          <w:tcPr>
            <w:tcW w:w="2127"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Approved electronically</w:t>
            </w:r>
          </w:p>
        </w:tc>
        <w:tc>
          <w:tcPr>
            <w:tcW w:w="1843"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12 September 2026</w:t>
            </w:r>
          </w:p>
        </w:tc>
      </w:tr>
      <w:tr>
        <w:trPr/>
        <w:tc>
          <w:tcPr>
            <w:tcW w:w="226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Ahmed Al-Ghamdi</w:t>
            </w:r>
          </w:p>
        </w:tc>
        <w:tc>
          <w:tcPr>
            <w:tcW w:w="2127"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Head of Internal Audit</w:t>
            </w:r>
          </w:p>
        </w:tc>
        <w:tc>
          <w:tcPr>
            <w:tcW w:w="2693"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Reviewed</w:t>
            </w:r>
          </w:p>
        </w:tc>
        <w:tc>
          <w:tcPr>
            <w:tcW w:w="1843"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12 September 2026</w:t>
            </w:r>
          </w:p>
        </w:tc>
      </w:tr>
    </w:tbl>
    <w:p>
      <w:pPr>
        <w:pStyle w:val="Normal"/>
        <w:rPr/>
      </w:pPr>
      <w:r>
        <w:rPr/>
      </w:r>
      <w:r>
        <w:br w:type="page"/>
      </w:r>
    </w:p>
    <w:p>
      <w:pPr>
        <w:pStyle w:val="HeadingX"/>
        <w:spacing w:before="0" w:after="240"/>
        <w:rPr/>
      </w:pPr>
      <w:r>
        <w:rPr/>
        <w:t>Contents</w:t>
      </w:r>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r>
        <w:rPr>
          <w:b w:val="false"/>
          <w:bCs w:val="false"/>
          <w:i/>
          <w:iCs w:val="false"/>
        </w:rPr>
        <w:t>1</w:t>
        <w:tab/>
        <w:t>Introduction</w:t>
        <w:tab/>
        <w:t>81</w:t>
        <w:tab/>
        <w:t>Introduction</w:t>
      </w:r>
      <w:hyperlink w:anchor="_Toc110936163">
        <w:r>
          <w:rPr>
            <w:rStyle w:val="Hyperlink"/>
          </w:rPr>
          <w:t>1</w:t>
        </w:r>
        <w:r>
          <w:rPr>
            <w:rStyle w:val="Hyperlink"/>
            <w:rFonts w:eastAsia="" w:cs="" w:cstheme="minorBidi" w:eastAsiaTheme="minorEastAsia"/>
            <w:b w:val="false"/>
            <w:bCs w:val="false"/>
            <w:iCs w:val="false"/>
            <w:color w:val="auto"/>
            <w:sz w:val="22"/>
            <w:szCs w:val="22"/>
            <w:lang w:eastAsia="en-GB"/>
          </w:rPr>
          <w:tab/>
        </w:r>
        <w:r>
          <w:rPr>
            <w:rStyle w:val="Hyperlink"/>
          </w:rPr>
          <w:t>Introduction</w:t>
        </w:r>
        <w:r>
          <w:rPr>
            <w:rStyle w:val="Hyperlink"/>
            <w:vanish/>
          </w:rPr>
          <w:tab/>
        </w:r>
        <w:r>
          <w:rPr>
            <w:webHidden/>
          </w:rPr>
          <w:fldChar w:fldCharType="begin"/>
        </w:r>
        <w:r>
          <w:rPr>
            <w:webHidden/>
          </w:rPr>
          <w:instrText xml:space="preserve">PAGEREF _Toc110936163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_Toc110936163 \h </w:instrText>
        </w:r>
        <w:r>
          <w:rPr>
            <w:rStyle w:val="Hyperlink"/>
            <w:vanish/>
          </w:rPr>
          <w:fldChar w:fldCharType="separate"/>
        </w:r>
        <w:r>
          <w:rPr>
            <w:rStyle w:val="Hyperlink"/>
            <w:vanish/>
          </w:rPr>
          <w:t>4</w:t>
        </w:r>
        <w:r>
          <w:rPr>
            <w:rStyle w:val="Hyperlink"/>
            <w:vanish/>
          </w:rPr>
          <w:fldChar w:fldCharType="end"/>
        </w:r>
      </w:hyperlink>
    </w:p>
    <w:p>
      <w:pPr>
        <w:pStyle w:val="TOC1"/>
        <w:tabs>
          <w:tab w:val="clear" w:pos="720"/>
          <w:tab w:val="left" w:pos="480" w:leader="none"/>
          <w:tab w:val="right" w:pos="9016" w:leader="dot"/>
        </w:tabs>
        <w:rPr>
          <w:rFonts w:eastAsia="" w:cs="" w:cstheme="minorBidi" w:eastAsiaTheme="minorEastAsia"/>
          <w:b w:val="false"/>
          <w:bCs w:val="false"/>
          <w:iCs w:val="false"/>
          <w:color w:val="auto"/>
          <w:sz w:val="22"/>
          <w:szCs w:val="22"/>
          <w:lang w:eastAsia="en-GB"/>
        </w:rPr>
      </w:pPr>
      <w:hyperlink w:anchor="_Toc110936164">
        <w:r>
          <w:rPr>
            <w:rStyle w:val="Hyperlink"/>
          </w:rPr>
          <w:t>2</w:t>
        </w:r>
        <w:r>
          <w:rPr>
            <w:rStyle w:val="Hyperlink"/>
            <w:rFonts w:eastAsia="" w:cs="" w:cstheme="minorBidi" w:eastAsiaTheme="minorEastAsia"/>
            <w:b w:val="false"/>
            <w:bCs w:val="false"/>
            <w:iCs w:val="false"/>
            <w:color w:val="auto"/>
            <w:sz w:val="22"/>
            <w:szCs w:val="22"/>
            <w:lang w:eastAsia="en-GB"/>
          </w:rPr>
          <w:tab/>
        </w:r>
        <w:r>
          <w:rPr>
            <w:rStyle w:val="Hyperlink"/>
          </w:rPr>
          <w:t>Information security policy</w:t>
        </w:r>
        <w:r>
          <w:rPr>
            <w:rStyle w:val="Hyperlink"/>
            <w:vanish/>
          </w:rPr>
          <w:tab/>
        </w:r>
        <w:r>
          <w:rPr>
            <w:rStyle w:val="Hyperlink"/>
            <w:vanish/>
          </w:rPr>
          <w:fldChar w:fldCharType="begin"/>
        </w:r>
        <w:r>
          <w:rPr>
            <w:rStyle w:val="Hyperlink"/>
            <w:vanish/>
          </w:rPr>
          <w:instrText xml:space="preserve"> PAGEREF _Toc110936164 \h </w:instrText>
        </w:r>
        <w:r>
          <w:rPr>
            <w:rStyle w:val="Hyperlink"/>
            <w:vanish/>
          </w:rPr>
          <w:fldChar w:fldCharType="separate"/>
        </w:r>
        <w:r>
          <w:rPr>
            <w:rStyle w:val="Hyperlink"/>
            <w:vanish/>
          </w:rPr>
          <w:t>6</w:t>
        </w:r>
        <w:r>
          <w:rPr>
            <w:rStyle w:val="Hyperlink"/>
            <w:vanish/>
          </w:rPr>
          <w:fldChar w:fldCharType="end"/>
        </w:r>
      </w:hyperlink>
      <w:r>
        <w:rPr/>
        <w:t>2</w:t>
        <w:tab/>
        <w:t>Information security policy</w:t>
        <w:tab/>
        <w:t>102</w:t>
        <w:tab/>
        <w:t>Information security policy</w:t>
      </w:r>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110936165">
        <w:r>
          <w:rPr>
            <w:rStyle w:val="Hyperlink"/>
          </w:rPr>
          <w:t>2.1</w:t>
        </w:r>
        <w:r>
          <w:rPr>
            <w:rStyle w:val="Hyperlink"/>
            <w:rFonts w:eastAsia="" w:cs="" w:cstheme="minorBidi" w:eastAsiaTheme="minorEastAsia"/>
            <w:b w:val="false"/>
            <w:bCs w:val="false"/>
            <w:color w:val="auto"/>
            <w:lang w:eastAsia="en-GB"/>
          </w:rPr>
          <w:tab/>
        </w:r>
        <w:r>
          <w:rPr>
            <w:rStyle w:val="Hyperlink"/>
          </w:rPr>
          <w:t>Information security requirements</w:t>
        </w:r>
        <w:r>
          <w:rPr>
            <w:rStyle w:val="Hyperlink"/>
            <w:vanish/>
          </w:rPr>
          <w:tab/>
        </w:r>
        <w:r>
          <w:rPr>
            <w:rStyle w:val="Hyperlink"/>
            <w:vanish/>
          </w:rPr>
          <w:fldChar w:fldCharType="begin"/>
        </w:r>
        <w:r>
          <w:rPr>
            <w:rStyle w:val="Hyperlink"/>
            <w:vanish/>
          </w:rPr>
          <w:instrText xml:space="preserve"> PAGEREF _Toc110936165 \h </w:instrText>
        </w:r>
        <w:r>
          <w:rPr>
            <w:rStyle w:val="Hyperlink"/>
            <w:vanish/>
          </w:rPr>
          <w:fldChar w:fldCharType="separate"/>
        </w:r>
        <w:r>
          <w:rPr>
            <w:rStyle w:val="Hyperlink"/>
            <w:vanish/>
          </w:rPr>
          <w:t>6</w:t>
        </w:r>
        <w:r>
          <w:rPr>
            <w:rStyle w:val="Hyperlink"/>
            <w:vanish/>
          </w:rPr>
          <w:fldChar w:fldCharType="end"/>
        </w:r>
      </w:hyperlink>
      <w:r>
        <w:rPr/>
        <w:t>2.1</w:t>
        <w:tab/>
        <w:t>Information security requirements</w:t>
        <w:tab/>
        <w:t>102.1</w:t>
        <w:tab/>
        <w:t>Information security requirements</w:t>
      </w:r>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110936166">
        <w:r>
          <w:rPr>
            <w:rStyle w:val="Hyperlink"/>
          </w:rPr>
          <w:t>2.2</w:t>
        </w:r>
        <w:r>
          <w:rPr>
            <w:rStyle w:val="Hyperlink"/>
            <w:rFonts w:eastAsia="" w:cs="" w:cstheme="minorBidi" w:eastAsiaTheme="minorEastAsia"/>
            <w:b w:val="false"/>
            <w:bCs w:val="false"/>
            <w:color w:val="auto"/>
            <w:lang w:eastAsia="en-GB"/>
          </w:rPr>
          <w:tab/>
        </w:r>
        <w:r>
          <w:rPr>
            <w:rStyle w:val="Hyperlink"/>
          </w:rPr>
          <w:t>Framework for setting objectives</w:t>
        </w:r>
        <w:r>
          <w:rPr>
            <w:rStyle w:val="Hyperlink"/>
            <w:vanish/>
          </w:rPr>
          <w:tab/>
        </w:r>
        <w:r>
          <w:rPr>
            <w:rStyle w:val="Hyperlink"/>
            <w:vanish/>
          </w:rPr>
          <w:fldChar w:fldCharType="begin"/>
        </w:r>
        <w:r>
          <w:rPr>
            <w:rStyle w:val="Hyperlink"/>
            <w:vanish/>
          </w:rPr>
          <w:instrText xml:space="preserve"> PAGEREF _Toc110936166 \h </w:instrText>
        </w:r>
        <w:r>
          <w:rPr>
            <w:rStyle w:val="Hyperlink"/>
            <w:vanish/>
          </w:rPr>
          <w:fldChar w:fldCharType="separate"/>
        </w:r>
        <w:r>
          <w:rPr>
            <w:rStyle w:val="Hyperlink"/>
            <w:vanish/>
          </w:rPr>
          <w:t>6</w:t>
        </w:r>
        <w:r>
          <w:rPr>
            <w:rStyle w:val="Hyperlink"/>
            <w:vanish/>
          </w:rPr>
          <w:fldChar w:fldCharType="end"/>
        </w:r>
      </w:hyperlink>
      <w:r>
        <w:rPr/>
        <w:t>2.2</w:t>
        <w:tab/>
        <w:t>Framework for setting objectives</w:t>
        <w:tab/>
        <w:t>102.2</w:t>
        <w:tab/>
        <w:t>Framework for setting objectives</w:t>
      </w:r>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110936167">
        <w:r>
          <w:rPr>
            <w:rStyle w:val="Hyperlink"/>
          </w:rPr>
          <w:t>2.3</w:t>
        </w:r>
        <w:r>
          <w:rPr>
            <w:rStyle w:val="Hyperlink"/>
            <w:rFonts w:eastAsia="" w:cs="" w:cstheme="minorBidi" w:eastAsiaTheme="minorEastAsia"/>
            <w:b w:val="false"/>
            <w:bCs w:val="false"/>
            <w:color w:val="auto"/>
            <w:lang w:eastAsia="en-GB"/>
          </w:rPr>
          <w:tab/>
        </w:r>
        <w:r>
          <w:rPr>
            <w:rStyle w:val="Hyperlink"/>
          </w:rPr>
          <w:t>Continual improvement of the ISMS</w:t>
        </w:r>
        <w:r>
          <w:rPr>
            <w:rStyle w:val="Hyperlink"/>
            <w:vanish/>
          </w:rPr>
          <w:tab/>
        </w:r>
        <w:r>
          <w:rPr>
            <w:rStyle w:val="Hyperlink"/>
            <w:vanish/>
          </w:rPr>
          <w:fldChar w:fldCharType="begin"/>
        </w:r>
        <w:r>
          <w:rPr>
            <w:rStyle w:val="Hyperlink"/>
            <w:vanish/>
          </w:rPr>
          <w:instrText xml:space="preserve"> PAGEREF _Toc110936167 \h </w:instrText>
        </w:r>
        <w:r>
          <w:rPr>
            <w:rStyle w:val="Hyperlink"/>
            <w:vanish/>
          </w:rPr>
          <w:fldChar w:fldCharType="separate"/>
        </w:r>
        <w:r>
          <w:rPr>
            <w:rStyle w:val="Hyperlink"/>
            <w:vanish/>
          </w:rPr>
          <w:t>7</w:t>
        </w:r>
        <w:r>
          <w:rPr>
            <w:rStyle w:val="Hyperlink"/>
            <w:vanish/>
          </w:rPr>
          <w:fldChar w:fldCharType="end"/>
        </w:r>
      </w:hyperlink>
      <w:r>
        <w:rPr/>
        <w:t>2.3</w:t>
        <w:tab/>
        <w:t>Continual improvement of the ISMS</w:t>
        <w:tab/>
        <w:t>112.3</w:t>
        <w:tab/>
        <w:t>Continual improvement of the ISMS</w:t>
      </w:r>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110936168">
        <w:r>
          <w:rPr>
            <w:rStyle w:val="Hyperlink"/>
          </w:rPr>
          <w:t>2.4</w:t>
        </w:r>
        <w:r>
          <w:rPr>
            <w:rStyle w:val="Hyperlink"/>
            <w:rFonts w:eastAsia="" w:cs="" w:cstheme="minorBidi" w:eastAsiaTheme="minorEastAsia"/>
            <w:b w:val="false"/>
            <w:bCs w:val="false"/>
            <w:color w:val="auto"/>
            <w:lang w:eastAsia="en-GB"/>
          </w:rPr>
          <w:tab/>
        </w:r>
        <w:r>
          <w:rPr>
            <w:rStyle w:val="Hyperlink"/>
          </w:rPr>
          <w:t>Information security policy areas</w:t>
        </w:r>
        <w:r>
          <w:rPr>
            <w:rStyle w:val="Hyperlink"/>
            <w:vanish/>
          </w:rPr>
          <w:tab/>
        </w:r>
        <w:r>
          <w:rPr>
            <w:rStyle w:val="Hyperlink"/>
            <w:vanish/>
          </w:rPr>
          <w:fldChar w:fldCharType="begin"/>
        </w:r>
        <w:r>
          <w:rPr>
            <w:rStyle w:val="Hyperlink"/>
            <w:vanish/>
          </w:rPr>
          <w:instrText xml:space="preserve"> PAGEREF _Toc110936168 \h </w:instrText>
        </w:r>
        <w:r>
          <w:rPr>
            <w:rStyle w:val="Hyperlink"/>
            <w:vanish/>
          </w:rPr>
          <w:fldChar w:fldCharType="separate"/>
        </w:r>
        <w:r>
          <w:rPr>
            <w:rStyle w:val="Hyperlink"/>
            <w:vanish/>
          </w:rPr>
          <w:t>8</w:t>
        </w:r>
        <w:r>
          <w:rPr>
            <w:rStyle w:val="Hyperlink"/>
            <w:vanish/>
          </w:rPr>
          <w:fldChar w:fldCharType="end"/>
        </w:r>
      </w:hyperlink>
      <w:r>
        <w:rPr/>
        <w:t>2.4</w:t>
        <w:tab/>
        <w:t>Information security policy areas</w:t>
        <w:tab/>
        <w:t>112.4</w:t>
        <w:tab/>
        <w:t>Information security policy areas</w:t>
      </w:r>
    </w:p>
    <w:p>
      <w:pPr>
        <w:pStyle w:val="TOC2"/>
        <w:tabs>
          <w:tab w:val="clear" w:pos="720"/>
          <w:tab w:val="left" w:pos="960" w:leader="none"/>
          <w:tab w:val="right" w:pos="9016" w:leader="dot"/>
        </w:tabs>
        <w:rPr>
          <w:rFonts w:eastAsia="" w:cs="" w:cstheme="minorBidi" w:eastAsiaTheme="minorEastAsia"/>
          <w:b w:val="false"/>
          <w:bCs w:val="false"/>
          <w:color w:val="auto"/>
          <w:lang w:eastAsia="en-GB"/>
        </w:rPr>
      </w:pPr>
      <w:hyperlink w:anchor="_Toc110936169">
        <w:r>
          <w:rPr>
            <w:rStyle w:val="Hyperlink"/>
          </w:rPr>
          <w:t>2.5</w:t>
        </w:r>
        <w:r>
          <w:rPr>
            <w:rStyle w:val="Hyperlink"/>
            <w:rFonts w:eastAsia="" w:cs="" w:cstheme="minorBidi" w:eastAsiaTheme="minorEastAsia"/>
            <w:b w:val="false"/>
            <w:bCs w:val="false"/>
            <w:color w:val="auto"/>
            <w:lang w:eastAsia="en-GB"/>
          </w:rPr>
          <w:tab/>
        </w:r>
        <w:r>
          <w:rPr>
            <w:rStyle w:val="Hyperlink"/>
          </w:rPr>
          <w:t>Application of information security policy</w:t>
        </w:r>
        <w:r>
          <w:rPr>
            <w:rStyle w:val="Hyperlink"/>
            <w:vanish/>
          </w:rPr>
          <w:tab/>
        </w:r>
        <w:r>
          <w:rPr>
            <w:rStyle w:val="Hyperlink"/>
            <w:vanish/>
          </w:rPr>
          <w:fldChar w:fldCharType="begin"/>
        </w:r>
        <w:r>
          <w:rPr>
            <w:rStyle w:val="Hyperlink"/>
            <w:vanish/>
          </w:rPr>
          <w:instrText xml:space="preserve"> PAGEREF _Toc110936169 \h </w:instrText>
        </w:r>
        <w:r>
          <w:rPr>
            <w:rStyle w:val="Hyperlink"/>
            <w:vanish/>
          </w:rPr>
          <w:fldChar w:fldCharType="separate"/>
        </w:r>
        <w:r>
          <w:rPr>
            <w:rStyle w:val="Hyperlink"/>
            <w:vanish/>
          </w:rPr>
          <w:t>12</w:t>
        </w:r>
        <w:r>
          <w:rPr>
            <w:rStyle w:val="Hyperlink"/>
            <w:vanish/>
          </w:rPr>
          <w:fldChar w:fldCharType="end"/>
        </w:r>
      </w:hyperlink>
      <w:r>
        <w:rPr/>
        <w:t>2.5</w:t>
        <w:tab/>
        <w:t>Application of information security policy</w:t>
        <w:tab/>
        <w:t>142.5</w:t>
        <w:tab/>
        <w:t>Application of information security policy</w:t>
      </w:r>
    </w:p>
    <w:p>
      <w:pPr>
        <w:pStyle w:val="Normal"/>
        <w:rPr/>
      </w:pPr>
      <w:r>
        <w:rPr/>
      </w:r>
    </w:p>
    <w:p>
      <w:pPr>
        <w:pStyle w:val="HeadingY"/>
        <w:rPr/>
      </w:pPr>
      <w:r>
        <w:rPr/>
        <w:t>Tables</w:t>
      </w:r>
    </w:p>
    <w:p>
      <w:pPr>
        <w:pStyle w:val="TableofFigures"/>
        <w:tabs>
          <w:tab w:val="clear" w:pos="720"/>
          <w:tab w:val="right" w:pos="9016" w:leader="dot"/>
        </w:tabs>
        <w:rPr>
          <w:rFonts w:eastAsia="" w:cs="" w:cstheme="minorBidi" w:eastAsiaTheme="minorEastAsia"/>
          <w:b w:val="false"/>
          <w:iCs w:val="false"/>
          <w:color w:val="auto"/>
          <w:szCs w:val="22"/>
          <w:lang w:eastAsia="en-GB"/>
        </w:rPr>
      </w:pPr>
      <w:r>
        <w:rPr>
          <w:sz w:val="20"/>
        </w:rPr>
        <w:t>Table 1: Set of policy documents</w:t>
        <w:tab/>
        <w:t>14</w:t>
      </w:r>
      <w:hyperlink w:anchor="_Toc110936170">
        <w:r>
          <w:rPr>
            <w:rStyle w:val="Hyperlink"/>
          </w:rPr>
          <w:t>Table 1: Set of policy documents</w:t>
        </w:r>
        <w:r>
          <w:rPr>
            <w:rStyle w:val="Hyperlink"/>
            <w:vanish/>
          </w:rPr>
          <w:tab/>
        </w:r>
        <w:r>
          <w:rPr>
            <w:webHidden/>
          </w:rPr>
          <w:fldChar w:fldCharType="begin"/>
        </w:r>
        <w:r>
          <w:rPr>
            <w:webHidden/>
          </w:rPr>
          <w:instrText xml:space="preserve">PAGEREF _Toc110936170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_Toc110936170 \h </w:instrText>
        </w:r>
        <w:r>
          <w:rPr>
            <w:rStyle w:val="Hyperlink"/>
            <w:vanish/>
          </w:rPr>
          <w:fldChar w:fldCharType="separate"/>
        </w:r>
        <w:r>
          <w:rPr>
            <w:rStyle w:val="Hyperlink"/>
            <w:vanish/>
          </w:rPr>
          <w:t>12</w:t>
        </w:r>
        <w:r>
          <w:rPr>
            <w:rStyle w:val="Hyperlink"/>
            <w:vanish/>
          </w:rPr>
          <w:fldChar w:fldCharType="end"/>
        </w:r>
      </w:hyperlink>
    </w:p>
    <w:p>
      <w:pPr>
        <w:pStyle w:val="Normal"/>
        <w:rPr/>
      </w:pPr>
      <w:r>
        <w:rPr/>
      </w:r>
      <w:r>
        <w:br w:type="page"/>
      </w:r>
    </w:p>
    <w:p>
      <w:pPr>
        <w:pStyle w:val="Heading1"/>
        <w:numPr>
          <w:ilvl w:val="0"/>
          <w:numId w:val="3"/>
        </w:numPr>
        <w:spacing w:before="0" w:after="240"/>
        <w:rPr/>
      </w:pPr>
      <w:bookmarkStart w:id="2" w:name="_Toc110936163"/>
      <w:r>
        <w:rPr/>
        <w:t>1 Introduction</w:t>
      </w:r>
      <w:bookmarkEnd w:id="2"/>
    </w:p>
    <w:p>
      <w:pPr>
        <w:pStyle w:val="Normal"/>
        <w:rPr/>
      </w:pPr>
      <w:r>
        <w:rPr/>
        <w:t>This document defines the information security policy of .</w:t>
      </w:r>
    </w:p>
    <w:p>
      <w:pPr>
        <w:pStyle w:val="Normal"/>
        <w:rPr/>
      </w:pPr>
      <w:r>
        <w:rPr/>
        <w:t>Al-Afaq Digital Bank recognises that reliable information security is essential to protect customers, support safe digital banking, meet regulatory obligations, and maintain confidence in its services.</w:t>
      </w:r>
    </w:p>
    <w:p>
      <w:pPr>
        <w:pStyle w:val="Normal"/>
        <w:rPr/>
      </w:pPr>
      <w:r>
        <w:rPr/>
        <w:t>Al-Afaq Digital Bank maintains an Information Security Management System (ISMS) aligned with ISO/IEC 27001. The ISMS provides a structured approach to managing information security risks across banking services, information assets, technology, personnel, and relevant suppliers.</w:t>
      </w:r>
    </w:p>
    <w:p>
      <w:pPr>
        <w:pStyle w:val="Normal"/>
        <w:rPr/>
      </w:pPr>
      <w:r>
        <w:rPr/>
        <w:t>The ISMS supports the following business and regulatory outcomes:</w:t>
      </w:r>
    </w:p>
    <w:p>
      <w:pPr>
        <w:pStyle w:val="Bulletedlist"/>
        <w:numPr>
          <w:ilvl w:val="0"/>
          <w:numId w:val="2"/>
        </w:numPr>
        <w:rPr>
          <w:highlight w:val="yellow"/>
        </w:rPr>
      </w:pPr>
      <w:r>
        <w:rPr>
          <w:highlight w:val="yellow"/>
        </w:rPr>
        <w:t>Protection of customer and financial information and reduction of avoidable financial loss</w:t>
      </w:r>
    </w:p>
    <w:p>
      <w:pPr>
        <w:pStyle w:val="Bulletedlist"/>
        <w:numPr>
          <w:ilvl w:val="0"/>
          <w:numId w:val="2"/>
        </w:numPr>
        <w:rPr>
          <w:highlight w:val="yellow"/>
        </w:rPr>
      </w:pPr>
      <w:r>
        <w:rPr>
          <w:highlight w:val="yellow"/>
        </w:rPr>
        <w:t>Availability and resilience of Afaq Plus, Afaq Net, core banking, payment, and card services</w:t>
      </w:r>
    </w:p>
    <w:p>
      <w:pPr>
        <w:pStyle w:val="Bulletedlist"/>
        <w:numPr>
          <w:ilvl w:val="0"/>
          <w:numId w:val="2"/>
        </w:numPr>
        <w:rPr>
          <w:highlight w:val="yellow"/>
        </w:rPr>
      </w:pPr>
      <w:r>
        <w:rPr>
          <w:highlight w:val="yellow"/>
        </w:rPr>
        <w:t>Protection of customer trust and the bank's reputation</w:t>
      </w:r>
    </w:p>
    <w:p>
      <w:pPr>
        <w:pStyle w:val="Bulletedlist"/>
        <w:numPr>
          <w:ilvl w:val="0"/>
          <w:numId w:val="2"/>
        </w:numPr>
        <w:rPr>
          <w:highlight w:val="yellow"/>
        </w:rPr>
      </w:pPr>
      <w:r>
        <w:rPr>
          <w:highlight w:val="yellow"/>
        </w:rPr>
        <w:t>Compliance with applicable SAMA, SDAIA, privacy, cybercrime, electronic transaction, and contractual requirements</w:t>
      </w:r>
    </w:p>
    <w:p>
      <w:pPr>
        <w:pStyle w:val="Normal"/>
        <w:rPr/>
      </w:pPr>
      <w:r>
        <w:rPr/>
        <w:t>has decided to maintain full certification to ISO/IEC 27001 in order that the effective adoption of information security best practice may be validated by an independent third party, a Registered Certification Body (RCB).</w:t>
      </w:r>
    </w:p>
    <w:p>
      <w:pPr>
        <w:pStyle w:val="Normal"/>
        <w:rPr/>
      </w:pPr>
      <w:r>
        <w:rPr/>
        <w:t>This policy applies to all systems, people and processes that constitute the organization’s information systems, including board members, directors, employees, suppliers and other third parties who have access to  systems.</w:t>
      </w:r>
    </w:p>
    <w:p>
      <w:pPr>
        <w:pStyle w:val="Normal"/>
        <w:rPr/>
      </w:pPr>
      <w:r>
        <w:rPr/>
        <w:t>The following supporting policy areas provide additional requirements for applying this policy:</w:t>
      </w:r>
    </w:p>
    <w:p>
      <w:pPr>
        <w:pStyle w:val="Bulletedlist"/>
        <w:numPr>
          <w:ilvl w:val="0"/>
          <w:numId w:val="2"/>
        </w:numPr>
        <w:rPr>
          <w:i/>
          <w:i/>
          <w:iCs/>
        </w:rPr>
      </w:pPr>
      <w:r>
        <w:rPr>
          <w:i/>
          <w:iCs/>
        </w:rPr>
        <w:t>Risk Assessment and Treatment Process</w:t>
      </w:r>
    </w:p>
    <w:p>
      <w:pPr>
        <w:pStyle w:val="Bulletedlist"/>
        <w:numPr>
          <w:ilvl w:val="0"/>
          <w:numId w:val="2"/>
        </w:numPr>
        <w:rPr>
          <w:i/>
          <w:i/>
          <w:iCs/>
        </w:rPr>
      </w:pPr>
      <w:r>
        <w:rPr>
          <w:i/>
          <w:iCs/>
        </w:rPr>
        <w:t>Statement of Applicability</w:t>
      </w:r>
    </w:p>
    <w:p>
      <w:pPr>
        <w:pStyle w:val="Bulletedlist"/>
        <w:numPr>
          <w:ilvl w:val="0"/>
          <w:numId w:val="2"/>
        </w:numPr>
        <w:rPr>
          <w:i/>
          <w:i/>
          <w:iCs/>
        </w:rPr>
      </w:pPr>
      <w:r>
        <w:rPr>
          <w:i/>
          <w:iCs/>
        </w:rPr>
        <w:t>Supplier Information Security Evaluation Process</w:t>
      </w:r>
    </w:p>
    <w:p>
      <w:pPr>
        <w:pStyle w:val="Bulletedlist"/>
        <w:numPr>
          <w:ilvl w:val="0"/>
          <w:numId w:val="2"/>
        </w:numPr>
        <w:rPr>
          <w:i/>
          <w:i/>
          <w:iCs/>
        </w:rPr>
      </w:pPr>
      <w:r>
        <w:rPr>
          <w:i/>
          <w:iCs/>
        </w:rPr>
        <w:t>Internet Access Policy</w:t>
      </w:r>
    </w:p>
    <w:p>
      <w:pPr>
        <w:pStyle w:val="Bulletedlist"/>
        <w:numPr>
          <w:ilvl w:val="0"/>
          <w:numId w:val="2"/>
        </w:numPr>
        <w:rPr>
          <w:i/>
          <w:i/>
          <w:iCs/>
        </w:rPr>
      </w:pPr>
      <w:r>
        <w:rPr>
          <w:i/>
          <w:iCs/>
        </w:rPr>
        <w:t>Cloud Services Policy</w:t>
      </w:r>
    </w:p>
    <w:p>
      <w:pPr>
        <w:pStyle w:val="Bulletedlist"/>
        <w:numPr>
          <w:ilvl w:val="0"/>
          <w:numId w:val="2"/>
        </w:numPr>
        <w:rPr>
          <w:i/>
          <w:i/>
          <w:iCs/>
        </w:rPr>
      </w:pPr>
      <w:r>
        <w:rPr>
          <w:i/>
          <w:iCs/>
        </w:rPr>
        <w:t>Mobile Device Policy</w:t>
      </w:r>
    </w:p>
    <w:p>
      <w:pPr>
        <w:pStyle w:val="Bulletedlist"/>
        <w:numPr>
          <w:ilvl w:val="0"/>
          <w:numId w:val="2"/>
        </w:numPr>
        <w:rPr>
          <w:i/>
          <w:i/>
          <w:iCs/>
        </w:rPr>
      </w:pPr>
      <w:r>
        <w:rPr>
          <w:i/>
          <w:iCs/>
        </w:rPr>
        <w:t>BYOD Policy</w:t>
      </w:r>
    </w:p>
    <w:p>
      <w:pPr>
        <w:pStyle w:val="Bulletedlist"/>
        <w:numPr>
          <w:ilvl w:val="0"/>
          <w:numId w:val="2"/>
        </w:numPr>
        <w:rPr>
          <w:i/>
          <w:i/>
          <w:iCs/>
        </w:rPr>
      </w:pPr>
      <w:r>
        <w:rPr>
          <w:i/>
          <w:iCs/>
        </w:rPr>
        <w:t>Remote Working Policy</w:t>
      </w:r>
    </w:p>
    <w:p>
      <w:pPr>
        <w:pStyle w:val="Bulletedlist"/>
        <w:numPr>
          <w:ilvl w:val="0"/>
          <w:numId w:val="2"/>
        </w:numPr>
        <w:rPr>
          <w:i/>
          <w:i/>
          <w:iCs/>
        </w:rPr>
      </w:pPr>
      <w:r>
        <w:rPr>
          <w:i/>
          <w:iCs/>
        </w:rPr>
        <w:t>Access Control Policy</w:t>
      </w:r>
    </w:p>
    <w:p>
      <w:pPr>
        <w:pStyle w:val="Bulletedlist"/>
        <w:numPr>
          <w:ilvl w:val="0"/>
          <w:numId w:val="2"/>
        </w:numPr>
        <w:rPr>
          <w:i/>
          <w:i/>
          <w:iCs/>
        </w:rPr>
      </w:pPr>
      <w:r>
        <w:rPr>
          <w:i/>
          <w:iCs/>
        </w:rPr>
        <w:t>Dynamic Access Control Policy</w:t>
      </w:r>
    </w:p>
    <w:p>
      <w:pPr>
        <w:pStyle w:val="Bulletedlist"/>
        <w:numPr>
          <w:ilvl w:val="0"/>
          <w:numId w:val="2"/>
        </w:numPr>
        <w:rPr>
          <w:i/>
          <w:i/>
          <w:iCs/>
        </w:rPr>
      </w:pPr>
      <w:r>
        <w:rPr>
          <w:i/>
          <w:iCs/>
        </w:rPr>
        <w:t>User Access Management Process</w:t>
      </w:r>
    </w:p>
    <w:p>
      <w:pPr>
        <w:pStyle w:val="Bulletedlist"/>
        <w:numPr>
          <w:ilvl w:val="0"/>
          <w:numId w:val="2"/>
        </w:numPr>
        <w:rPr>
          <w:i/>
          <w:i/>
          <w:iCs/>
        </w:rPr>
      </w:pPr>
      <w:r>
        <w:rPr>
          <w:i/>
          <w:iCs/>
        </w:rPr>
        <w:t>Cryptographic Policy</w:t>
      </w:r>
    </w:p>
    <w:p>
      <w:pPr>
        <w:pStyle w:val="Bulletedlist"/>
        <w:numPr>
          <w:ilvl w:val="0"/>
          <w:numId w:val="2"/>
        </w:numPr>
        <w:rPr>
          <w:i/>
          <w:i/>
          <w:iCs/>
        </w:rPr>
      </w:pPr>
      <w:r>
        <w:rPr>
          <w:i/>
          <w:iCs/>
        </w:rPr>
        <w:t>Physical Security Policy</w:t>
      </w:r>
    </w:p>
    <w:p>
      <w:pPr>
        <w:pStyle w:val="Bulletedlist"/>
        <w:numPr>
          <w:ilvl w:val="0"/>
          <w:numId w:val="2"/>
        </w:numPr>
        <w:rPr>
          <w:i/>
          <w:i/>
          <w:iCs/>
        </w:rPr>
      </w:pPr>
      <w:r>
        <w:rPr>
          <w:i/>
          <w:iCs/>
        </w:rPr>
        <w:t>Anti-Malware Policy</w:t>
      </w:r>
    </w:p>
    <w:p>
      <w:pPr>
        <w:pStyle w:val="Bulletedlist"/>
        <w:numPr>
          <w:ilvl w:val="0"/>
          <w:numId w:val="2"/>
        </w:numPr>
        <w:rPr>
          <w:i/>
          <w:i/>
          <w:iCs/>
        </w:rPr>
      </w:pPr>
      <w:r>
        <w:rPr>
          <w:i/>
          <w:iCs/>
        </w:rPr>
        <w:t>Backup Policy</w:t>
      </w:r>
    </w:p>
    <w:p>
      <w:pPr>
        <w:pStyle w:val="Bulletedlist"/>
        <w:numPr>
          <w:ilvl w:val="0"/>
          <w:numId w:val="2"/>
        </w:numPr>
        <w:rPr>
          <w:i/>
          <w:i/>
          <w:iCs/>
        </w:rPr>
      </w:pPr>
      <w:r>
        <w:rPr>
          <w:i/>
          <w:iCs/>
        </w:rPr>
        <w:t>Logging and Monitoring Policy</w:t>
      </w:r>
    </w:p>
    <w:p>
      <w:pPr>
        <w:pStyle w:val="Bulletedlist"/>
        <w:numPr>
          <w:ilvl w:val="0"/>
          <w:numId w:val="2"/>
        </w:numPr>
        <w:rPr>
          <w:i/>
          <w:i/>
          <w:iCs/>
        </w:rPr>
      </w:pPr>
      <w:r>
        <w:rPr>
          <w:i/>
          <w:iCs/>
        </w:rPr>
        <w:t>Software Policy</w:t>
      </w:r>
    </w:p>
    <w:p>
      <w:pPr>
        <w:pStyle w:val="Bulletedlist"/>
        <w:numPr>
          <w:ilvl w:val="0"/>
          <w:numId w:val="2"/>
        </w:numPr>
        <w:rPr>
          <w:i/>
          <w:i/>
          <w:iCs/>
        </w:rPr>
      </w:pPr>
      <w:r>
        <w:rPr>
          <w:i/>
          <w:iCs/>
        </w:rPr>
        <w:t>Technical Vulnerability Management Policy</w:t>
      </w:r>
    </w:p>
    <w:p>
      <w:pPr>
        <w:pStyle w:val="Bulletedlist"/>
        <w:numPr>
          <w:ilvl w:val="0"/>
          <w:numId w:val="2"/>
        </w:numPr>
        <w:rPr>
          <w:i/>
          <w:i/>
          <w:iCs/>
        </w:rPr>
      </w:pPr>
      <w:r>
        <w:rPr>
          <w:i/>
          <w:iCs/>
        </w:rPr>
        <w:t>Network Security Policy</w:t>
      </w:r>
    </w:p>
    <w:p>
      <w:pPr>
        <w:pStyle w:val="Bulletedlist"/>
        <w:numPr>
          <w:ilvl w:val="0"/>
          <w:numId w:val="2"/>
        </w:numPr>
        <w:rPr>
          <w:i/>
          <w:i/>
          <w:iCs/>
        </w:rPr>
      </w:pPr>
      <w:r>
        <w:rPr>
          <w:i/>
          <w:iCs/>
        </w:rPr>
        <w:t>Electronic Messaging Policy</w:t>
      </w:r>
    </w:p>
    <w:p>
      <w:pPr>
        <w:pStyle w:val="Bulletedlist"/>
        <w:numPr>
          <w:ilvl w:val="0"/>
          <w:numId w:val="2"/>
        </w:numPr>
        <w:rPr>
          <w:i/>
          <w:i/>
          <w:iCs/>
        </w:rPr>
      </w:pPr>
      <w:r>
        <w:rPr>
          <w:i/>
          <w:iCs/>
        </w:rPr>
        <w:t>Online Collaboration Policy</w:t>
      </w:r>
    </w:p>
    <w:p>
      <w:pPr>
        <w:pStyle w:val="Bulletedlist"/>
        <w:numPr>
          <w:ilvl w:val="0"/>
          <w:numId w:val="2"/>
        </w:numPr>
        <w:rPr>
          <w:i/>
          <w:i/>
          <w:iCs/>
        </w:rPr>
      </w:pPr>
      <w:r>
        <w:rPr>
          <w:i/>
          <w:iCs/>
        </w:rPr>
        <w:t>Secure Development Policy</w:t>
      </w:r>
    </w:p>
    <w:p>
      <w:pPr>
        <w:pStyle w:val="Bulletedlist"/>
        <w:numPr>
          <w:ilvl w:val="0"/>
          <w:numId w:val="2"/>
        </w:numPr>
        <w:rPr>
          <w:i/>
          <w:i/>
          <w:iCs/>
        </w:rPr>
      </w:pPr>
      <w:r>
        <w:rPr>
          <w:i/>
          <w:iCs/>
        </w:rPr>
        <w:t>Information Security Policy for Supplier Relationships</w:t>
      </w:r>
    </w:p>
    <w:p>
      <w:pPr>
        <w:pStyle w:val="Bulletedlist"/>
        <w:numPr>
          <w:ilvl w:val="0"/>
          <w:numId w:val="2"/>
        </w:numPr>
        <w:rPr>
          <w:i/>
          <w:i/>
          <w:iCs/>
        </w:rPr>
      </w:pPr>
      <w:r>
        <w:rPr>
          <w:i/>
          <w:iCs/>
        </w:rPr>
        <w:t>Availability Management Policy</w:t>
      </w:r>
    </w:p>
    <w:p>
      <w:pPr>
        <w:pStyle w:val="Bulletedlist"/>
        <w:numPr>
          <w:ilvl w:val="0"/>
          <w:numId w:val="2"/>
        </w:numPr>
        <w:rPr>
          <w:i/>
          <w:i/>
          <w:iCs/>
        </w:rPr>
      </w:pPr>
      <w:r>
        <w:rPr>
          <w:i/>
          <w:iCs/>
        </w:rPr>
        <w:t>IP and Copyright Compliance Policy</w:t>
      </w:r>
    </w:p>
    <w:p>
      <w:pPr>
        <w:pStyle w:val="Bulletedlist"/>
        <w:numPr>
          <w:ilvl w:val="0"/>
          <w:numId w:val="2"/>
        </w:numPr>
        <w:rPr>
          <w:i/>
          <w:i/>
          <w:iCs/>
        </w:rPr>
      </w:pPr>
      <w:r>
        <w:rPr>
          <w:i/>
          <w:iCs/>
        </w:rPr>
        <w:t>Records Retention and Protection Policy</w:t>
      </w:r>
    </w:p>
    <w:p>
      <w:pPr>
        <w:pStyle w:val="Bulletedlist"/>
        <w:numPr>
          <w:ilvl w:val="0"/>
          <w:numId w:val="2"/>
        </w:numPr>
        <w:rPr>
          <w:i/>
          <w:i/>
          <w:iCs/>
        </w:rPr>
      </w:pPr>
      <w:r>
        <w:rPr>
          <w:i/>
          <w:iCs/>
        </w:rPr>
        <w:t>Privacy and Personal Data Protection Policy</w:t>
      </w:r>
    </w:p>
    <w:p>
      <w:pPr>
        <w:pStyle w:val="Bulletedlist"/>
        <w:numPr>
          <w:ilvl w:val="0"/>
          <w:numId w:val="2"/>
        </w:numPr>
        <w:rPr>
          <w:i/>
          <w:i/>
          <w:iCs/>
        </w:rPr>
      </w:pPr>
      <w:r>
        <w:rPr>
          <w:i/>
          <w:iCs/>
        </w:rPr>
        <w:t>Clear Desk and Clear Screen Policy</w:t>
      </w:r>
    </w:p>
    <w:p>
      <w:pPr>
        <w:pStyle w:val="Bulletedlist"/>
        <w:numPr>
          <w:ilvl w:val="0"/>
          <w:numId w:val="2"/>
        </w:numPr>
        <w:rPr>
          <w:i/>
          <w:i/>
          <w:iCs/>
        </w:rPr>
      </w:pPr>
      <w:r>
        <w:rPr>
          <w:i/>
          <w:iCs/>
        </w:rPr>
        <w:t>Social Media Policy</w:t>
      </w:r>
    </w:p>
    <w:p>
      <w:pPr>
        <w:pStyle w:val="Bulletedlist"/>
        <w:numPr>
          <w:ilvl w:val="0"/>
          <w:numId w:val="2"/>
        </w:numPr>
        <w:rPr>
          <w:i/>
          <w:i/>
          <w:iCs/>
        </w:rPr>
      </w:pPr>
      <w:r>
        <w:rPr>
          <w:i/>
          <w:iCs/>
        </w:rPr>
        <w:t>HR Security Policy</w:t>
      </w:r>
    </w:p>
    <w:p>
      <w:pPr>
        <w:pStyle w:val="Bulletedlist"/>
        <w:numPr>
          <w:ilvl w:val="0"/>
          <w:numId w:val="2"/>
        </w:numPr>
        <w:rPr>
          <w:i/>
          <w:i/>
          <w:iCs/>
        </w:rPr>
      </w:pPr>
      <w:r>
        <w:rPr>
          <w:i/>
          <w:iCs/>
        </w:rPr>
        <w:t>Threat Intelligence Policy</w:t>
      </w:r>
    </w:p>
    <w:p>
      <w:pPr>
        <w:pStyle w:val="Bulletedlist"/>
        <w:numPr>
          <w:ilvl w:val="0"/>
          <w:numId w:val="2"/>
        </w:numPr>
        <w:rPr>
          <w:i/>
          <w:i/>
          <w:iCs/>
        </w:rPr>
      </w:pPr>
      <w:r>
        <w:rPr>
          <w:i/>
          <w:iCs/>
        </w:rPr>
        <w:t>Asset Management Policy</w:t>
      </w:r>
    </w:p>
    <w:p>
      <w:pPr>
        <w:pStyle w:val="Bulletedlist"/>
        <w:numPr>
          <w:ilvl w:val="0"/>
          <w:numId w:val="2"/>
        </w:numPr>
        <w:rPr>
          <w:i/>
          <w:i/>
          <w:iCs/>
        </w:rPr>
      </w:pPr>
      <w:r>
        <w:rPr>
          <w:i/>
          <w:iCs/>
        </w:rPr>
        <w:t>Acceptable Use Policy</w:t>
      </w:r>
    </w:p>
    <w:p>
      <w:pPr>
        <w:pStyle w:val="Bulletedlist"/>
        <w:numPr>
          <w:ilvl w:val="0"/>
          <w:numId w:val="2"/>
        </w:numPr>
        <w:rPr>
          <w:i/>
          <w:i/>
          <w:iCs/>
        </w:rPr>
      </w:pPr>
      <w:bookmarkStart w:id="3" w:name="_Hlk109914868"/>
      <w:r>
        <w:rPr>
          <w:i/>
          <w:iCs/>
        </w:rPr>
        <w:t>CCTV Policy</w:t>
      </w:r>
    </w:p>
    <w:p>
      <w:pPr>
        <w:pStyle w:val="Bulletedlist"/>
        <w:numPr>
          <w:ilvl w:val="0"/>
          <w:numId w:val="2"/>
        </w:numPr>
        <w:rPr>
          <w:i/>
          <w:i/>
          <w:iCs/>
        </w:rPr>
      </w:pPr>
      <w:r>
        <w:rPr>
          <w:i/>
          <w:iCs/>
        </w:rPr>
        <w:t>Configuration Management Policy</w:t>
      </w:r>
    </w:p>
    <w:p>
      <w:pPr>
        <w:pStyle w:val="Bulletedlist"/>
        <w:numPr>
          <w:ilvl w:val="0"/>
          <w:numId w:val="2"/>
        </w:numPr>
        <w:rPr>
          <w:i/>
          <w:i/>
          <w:iCs/>
        </w:rPr>
      </w:pPr>
      <w:r>
        <w:rPr>
          <w:i/>
          <w:iCs/>
        </w:rPr>
        <w:t>Information Deletion Policy</w:t>
      </w:r>
    </w:p>
    <w:p>
      <w:pPr>
        <w:pStyle w:val="Bulletedlist"/>
        <w:numPr>
          <w:ilvl w:val="0"/>
          <w:numId w:val="2"/>
        </w:numPr>
        <w:rPr>
          <w:i/>
          <w:i/>
          <w:iCs/>
        </w:rPr>
      </w:pPr>
      <w:r>
        <w:rPr>
          <w:i/>
          <w:iCs/>
        </w:rPr>
        <w:t>Data Masking Policy</w:t>
      </w:r>
    </w:p>
    <w:p>
      <w:pPr>
        <w:pStyle w:val="Bulletedlist"/>
        <w:numPr>
          <w:ilvl w:val="0"/>
          <w:numId w:val="2"/>
        </w:numPr>
        <w:rPr>
          <w:i/>
          <w:i/>
          <w:iCs/>
        </w:rPr>
      </w:pPr>
      <w:r>
        <w:rPr>
          <w:i/>
          <w:iCs/>
        </w:rPr>
        <w:t>Data Leakage Prevention Policy</w:t>
      </w:r>
    </w:p>
    <w:p>
      <w:pPr>
        <w:pStyle w:val="Bulletedlist"/>
        <w:numPr>
          <w:ilvl w:val="0"/>
          <w:numId w:val="2"/>
        </w:numPr>
        <w:rPr>
          <w:i/>
          <w:i/>
          <w:iCs/>
        </w:rPr>
      </w:pPr>
      <w:r>
        <w:rPr>
          <w:i/>
          <w:iCs/>
        </w:rPr>
        <w:t>Monitoring Policy</w:t>
      </w:r>
    </w:p>
    <w:p>
      <w:pPr>
        <w:pStyle w:val="Bulletedlist"/>
        <w:numPr>
          <w:ilvl w:val="0"/>
          <w:numId w:val="2"/>
        </w:numPr>
        <w:rPr>
          <w:i/>
          <w:i/>
          <w:iCs/>
        </w:rPr>
      </w:pPr>
      <w:r>
        <w:rPr>
          <w:i/>
          <w:iCs/>
        </w:rPr>
        <w:t>Web Filtering Policy</w:t>
      </w:r>
    </w:p>
    <w:p>
      <w:pPr>
        <w:pStyle w:val="Bulletedlist"/>
        <w:numPr>
          <w:ilvl w:val="0"/>
          <w:numId w:val="2"/>
        </w:numPr>
        <w:rPr>
          <w:i/>
          <w:i/>
          <w:iCs/>
        </w:rPr>
      </w:pPr>
      <w:r>
        <w:rPr>
          <w:i/>
          <w:iCs/>
        </w:rPr>
        <w:t>Secure Coding Policy</w:t>
      </w:r>
    </w:p>
    <w:p>
      <w:pPr>
        <w:pStyle w:val="Bulletedlist"/>
        <w:numPr>
          <w:ilvl w:val="0"/>
          <w:numId w:val="2"/>
        </w:numPr>
        <w:rPr>
          <w:i/>
          <w:i/>
          <w:iCs/>
        </w:rPr>
      </w:pPr>
      <w:bookmarkStart w:id="4" w:name="_Hlk109914868"/>
      <w:r>
        <w:rPr>
          <w:i/>
          <w:iCs/>
        </w:rPr>
        <w:t>Information Security Whistleblowing Policy</w:t>
      </w:r>
      <w:bookmarkEnd w:id="4"/>
    </w:p>
    <w:p>
      <w:pPr>
        <w:pStyle w:val="Normal"/>
        <w:rPr/>
      </w:pPr>
      <w:r>
        <w:rPr/>
        <w:t>Details of the latest version number of each of these documents is available from the ISMS Documentation Log.</w:t>
      </w:r>
    </w:p>
    <w:p>
      <w:pPr>
        <w:pStyle w:val="Normal"/>
        <w:spacing w:lineRule="auto" w:line="259" w:before="0" w:after="160"/>
        <w:rPr/>
      </w:pPr>
      <w:r>
        <w:rPr/>
      </w:r>
      <w:r>
        <w:br w:type="page"/>
      </w:r>
    </w:p>
    <w:p>
      <w:pPr>
        <w:pStyle w:val="Heading1"/>
        <w:numPr>
          <w:ilvl w:val="0"/>
          <w:numId w:val="3"/>
        </w:numPr>
        <w:spacing w:before="0" w:after="240"/>
        <w:rPr/>
      </w:pPr>
      <w:bookmarkStart w:id="5" w:name="_Toc110936164"/>
      <w:r>
        <w:rPr/>
        <w:t>2 Information security policy</w:t>
      </w:r>
      <w:bookmarkEnd w:id="5"/>
    </w:p>
    <w:p>
      <w:pPr>
        <w:pStyle w:val="Heading2"/>
        <w:numPr>
          <w:ilvl w:val="1"/>
          <w:numId w:val="3"/>
        </w:numPr>
        <w:rPr/>
      </w:pPr>
      <w:bookmarkStart w:id="6" w:name="_Toc110936165"/>
      <w:r>
        <w:rPr/>
        <w:t>2.1 Information security requirements</w:t>
      </w:r>
      <w:bookmarkEnd w:id="6"/>
    </w:p>
    <w:p>
      <w:pPr>
        <w:pStyle w:val="Normal"/>
        <w:rPr/>
      </w:pPr>
      <w:r>
        <w:rPr/>
        <w:t>Information security requirements shall be derived from the bank's business activities, risk assessment results, customer protection needs, applicable laws and regulations, SAMA requirements, SDAIA requirements, contractual commitments, and the security needs of new or changed systems and services. Requirements for Afaq Plus, Afaq Net, core banking, payment services, customer information, and supporting technology shall be considered during planning and change activities.</w:t>
      </w:r>
    </w:p>
    <w:p>
      <w:pPr>
        <w:pStyle w:val="Normal"/>
        <w:rPr/>
      </w:pPr>
      <w:r>
        <w:rPr/>
        <w:t>It is a fundamental principle of the  Information Security Management System that the controls implemented are driven by business needs and this will be regularly communicated to all staff through team meetings and briefing documents.</w:t>
      </w:r>
    </w:p>
    <w:p>
      <w:pPr>
        <w:pStyle w:val="Normal"/>
        <w:rPr/>
      </w:pPr>
      <w:r>
        <w:rPr/>
      </w:r>
    </w:p>
    <w:p>
      <w:pPr>
        <w:pStyle w:val="Heading2"/>
        <w:numPr>
          <w:ilvl w:val="1"/>
          <w:numId w:val="3"/>
        </w:numPr>
        <w:rPr/>
      </w:pPr>
      <w:bookmarkStart w:id="7" w:name="_Toc110936166"/>
      <w:r>
        <w:rPr/>
        <w:t>2.2 Framework for setting objectives</w:t>
      </w:r>
      <w:bookmarkEnd w:id="7"/>
    </w:p>
    <w:p>
      <w:pPr>
        <w:pStyle w:val="Normal"/>
        <w:rPr/>
      </w:pPr>
      <w:r>
        <w:rPr/>
        <w:t>Information security objectives shall be established and reviewed through the ISMS planning and management review cycle, taking account of risk assessment results, regulatory obligations, business priorities, customer expectations, incident experience, and available security resources. The bank's information security budget is approximately SAR 12 million and is expected to increase to approximately SAR 18 million after full ISMS implementation.</w:t>
      </w:r>
    </w:p>
    <w:p>
      <w:pPr>
        <w:pStyle w:val="Normal"/>
        <w:rPr/>
      </w:pPr>
      <w:r>
        <w:rPr/>
        <w:t>Objectives shall have defined measures, responsibilities, and review periods. Progress shall be evaluated through management review and relevant performance information, and changes shall be controlled through the bank's established governance and change processes.</w:t>
      </w:r>
    </w:p>
    <w:p>
      <w:pPr>
        <w:pStyle w:val="Normal"/>
        <w:rPr/>
      </w:pPr>
      <w:r>
        <w:rPr/>
        <w:t>In accordance with ISO/IEC 27001 the reference controls detailed in Annex A of the standard will be adopted where appropriate by . These will be reviewed on a regular basis in the light of the outcome from risk assessments and in line with information security risk treatment plans. For details of which Annex A controls have been implemented and which have been excluded please see the Statement of Applicability.</w:t>
      </w:r>
    </w:p>
    <w:p>
      <w:pPr>
        <w:pStyle w:val="Normal"/>
        <w:rPr/>
      </w:pPr>
      <w:r>
        <w:rPr/>
        <w:t>Where relevant to the ISMS scope, the bank may use the following supporting standards and practices:</w:t>
      </w:r>
    </w:p>
    <w:p>
      <w:pPr>
        <w:pStyle w:val="Bulletedlist"/>
        <w:numPr>
          <w:ilvl w:val="0"/>
          <w:numId w:val="2"/>
        </w:numPr>
        <w:rPr/>
      </w:pPr>
      <w:r>
        <w:rPr/>
        <w:t>ISO/IEC 27002 – Code of practice for information security controls</w:t>
      </w:r>
    </w:p>
    <w:p>
      <w:pPr>
        <w:pStyle w:val="Bulletedlist"/>
        <w:numPr>
          <w:ilvl w:val="0"/>
          <w:numId w:val="2"/>
        </w:numPr>
        <w:rPr>
          <w:highlight w:val="yellow"/>
        </w:rPr>
      </w:pPr>
      <w:r>
        <w:rPr>
          <w:highlight w:val="yellow"/>
        </w:rPr>
        <w:t>ISO/IEC 27017 – Code of practice for information security controls based on ISO/IEC 27002 for cloud services</w:t>
      </w:r>
    </w:p>
    <w:p>
      <w:pPr>
        <w:pStyle w:val="Bulletedlist"/>
        <w:numPr>
          <w:ilvl w:val="0"/>
          <w:numId w:val="2"/>
        </w:numPr>
        <w:rPr>
          <w:highlight w:val="yellow"/>
        </w:rPr>
      </w:pPr>
      <w:r>
        <w:rPr>
          <w:highlight w:val="yellow"/>
        </w:rPr>
        <w:t>ISO/IEC 27018 – Code of practice for protection of personally identifiable information (PII) in public clouds acting as PII processors</w:t>
      </w:r>
    </w:p>
    <w:p>
      <w:pPr>
        <w:pStyle w:val="Normal"/>
        <w:rPr/>
      </w:pPr>
      <w:r>
        <w:rPr/>
      </w:r>
    </w:p>
    <w:p>
      <w:pPr>
        <w:pStyle w:val="Normal"/>
        <w:rPr/>
      </w:pPr>
      <w:r>
        <w:rPr/>
        <w:t>These supporting practices may strengthen the consistency of information security and privacy controls for customer information and cloud-related activities.</w:t>
      </w:r>
    </w:p>
    <w:p>
      <w:pPr>
        <w:pStyle w:val="Normal"/>
        <w:rPr/>
      </w:pPr>
      <w:r>
        <w:rPr/>
      </w:r>
    </w:p>
    <w:p>
      <w:pPr>
        <w:pStyle w:val="Heading2"/>
        <w:numPr>
          <w:ilvl w:val="1"/>
          <w:numId w:val="3"/>
        </w:numPr>
        <w:rPr/>
      </w:pPr>
      <w:bookmarkStart w:id="8" w:name="_Toc110936167"/>
      <w:r>
        <w:rPr/>
        <w:t>2.3 Continual improvement of the ISMS</w:t>
      </w:r>
      <w:bookmarkEnd w:id="8"/>
    </w:p>
    <w:p>
      <w:pPr>
        <w:pStyle w:val="Normal"/>
        <w:rPr/>
      </w:pPr>
      <w:r>
        <w:rPr/>
        <w:t>Al-Afaq Digital Bank's continual improvement approach is to:</w:t>
      </w:r>
    </w:p>
    <w:p>
      <w:pPr>
        <w:pStyle w:val="Bulletedlist"/>
        <w:numPr>
          <w:ilvl w:val="0"/>
          <w:numId w:val="2"/>
        </w:numPr>
        <w:rPr/>
      </w:pPr>
      <w:r>
        <w:rPr/>
        <w:t>Continually improve the effectiveness of the ISMS based on risk, performance, incidents, audit results, and management review</w:t>
      </w:r>
    </w:p>
    <w:p>
      <w:pPr>
        <w:pStyle w:val="Bulletedlist"/>
        <w:numPr>
          <w:ilvl w:val="0"/>
          <w:numId w:val="2"/>
        </w:numPr>
        <w:rPr/>
      </w:pPr>
      <w:r>
        <w:rPr/>
        <w:t>Improve security processes in line with ISO/IEC 27001 and applicable supporting practices</w:t>
      </w:r>
    </w:p>
    <w:p>
      <w:pPr>
        <w:pStyle w:val="Bulletedlist"/>
        <w:numPr>
          <w:ilvl w:val="0"/>
          <w:numId w:val="2"/>
        </w:numPr>
        <w:rPr/>
      </w:pPr>
      <w:r>
        <w:rPr/>
        <w:t>Maintain an effective ISO/IEC 27001-aligned ISMS and support independent assurance activities</w:t>
      </w:r>
    </w:p>
    <w:p>
      <w:pPr>
        <w:pStyle w:val="Bulletedlist"/>
        <w:numPr>
          <w:ilvl w:val="0"/>
          <w:numId w:val="2"/>
        </w:numPr>
        <w:rPr/>
      </w:pPr>
      <w:r>
        <w:rPr/>
        <w:t>Increase the level of proactivity (and the stakeholder perception of proactivity) with regard to information security</w:t>
      </w:r>
    </w:p>
    <w:p>
      <w:pPr>
        <w:pStyle w:val="Bulletedlist"/>
        <w:numPr>
          <w:ilvl w:val="0"/>
          <w:numId w:val="2"/>
        </w:numPr>
        <w:rPr/>
      </w:pPr>
      <w:r>
        <w:rPr/>
        <w:t>Improve the measurement of security controls and performance to support evidence-based decisions</w:t>
      </w:r>
    </w:p>
    <w:p>
      <w:pPr>
        <w:pStyle w:val="Bulletedlist"/>
        <w:numPr>
          <w:ilvl w:val="0"/>
          <w:numId w:val="2"/>
        </w:numPr>
        <w:rPr/>
      </w:pPr>
      <w:r>
        <w:rPr/>
        <w:t>Review relevant performance measures at planned intervals and adjust them when evidence shows that improvement is required</w:t>
      </w:r>
    </w:p>
    <w:p>
      <w:pPr>
        <w:pStyle w:val="Bulletedlist"/>
        <w:numPr>
          <w:ilvl w:val="0"/>
          <w:numId w:val="2"/>
        </w:numPr>
        <w:rPr/>
      </w:pPr>
      <w:r>
        <w:rPr/>
        <w:t>Obtain improvement opportunities from employees, customers, suppliers, Internal Audit, risk assessments, incidents, and service reports</w:t>
      </w:r>
    </w:p>
    <w:p>
      <w:pPr>
        <w:pStyle w:val="Bulletedlist"/>
        <w:numPr>
          <w:ilvl w:val="0"/>
          <w:numId w:val="2"/>
        </w:numPr>
        <w:rPr/>
      </w:pPr>
      <w:r>
        <w:rPr/>
        <w:t>Evaluate and prioritise improvement actions through appropriate management review activities</w:t>
      </w:r>
    </w:p>
    <w:p>
      <w:pPr>
        <w:pStyle w:val="Normal"/>
        <w:rPr/>
      </w:pPr>
      <w:r>
        <w:rPr/>
        <w:t>Improvement opportunities shall be recorded, evaluated, assigned, and followed through the ISMS governance process.</w:t>
      </w:r>
    </w:p>
    <w:p>
      <w:pPr>
        <w:pStyle w:val="Normal"/>
        <w:rPr/>
      </w:pPr>
      <w:r>
        <w:rPr/>
      </w:r>
    </w:p>
    <w:p>
      <w:pPr>
        <w:pStyle w:val="Heading2"/>
        <w:numPr>
          <w:ilvl w:val="1"/>
          <w:numId w:val="3"/>
        </w:numPr>
        <w:rPr/>
      </w:pPr>
      <w:bookmarkStart w:id="9" w:name="_Toc110936168"/>
      <w:r>
        <w:rPr/>
        <w:t>2.4 Information security policy areas</w:t>
      </w:r>
      <w:bookmarkEnd w:id="9"/>
    </w:p>
    <w:p>
      <w:pPr>
        <w:pStyle w:val="Normal"/>
        <w:rPr/>
      </w:pPr>
      <w:r>
        <w:rPr/>
        <w:t>Al-Afaq Digital Bank maintains supporting policy areas that address the principal information security risks and requirements identified for its banking environment.</w:t>
      </w:r>
    </w:p>
    <w:p>
      <w:pPr>
        <w:pStyle w:val="Normal"/>
        <w:rPr/>
      </w:pPr>
      <w:r>
        <w:rPr/>
        <w:t>Supporting policies and procedures shall be reviewed by appropriate management, approved through the bank's governance process, communicated to relevant personnel, and reviewed when significant changes occur.</w:t>
      </w:r>
    </w:p>
    <w:p>
      <w:pPr>
        <w:pStyle w:val="Normal"/>
        <w:rPr/>
      </w:pPr>
      <w:r>
        <w:rPr/>
        <w:t>The table below summarises the principal supporting policy areas relevant to the bank's ISMS.</w:t>
      </w:r>
    </w:p>
    <w:p>
      <w:pPr>
        <w:pStyle w:val="Normal"/>
        <w:rPr/>
      </w:pPr>
      <w:r>
        <w:rPr/>
      </w:r>
    </w:p>
    <w:p>
      <w:pPr>
        <w:pStyle w:val="Normal"/>
        <w:rPr/>
      </w:pPr>
      <w:r>
        <w:rPr/>
      </w:r>
    </w:p>
    <w:tbl>
      <w:tblPr>
        <w:tblStyle w:val="TableGrid"/>
        <w:tblW w:w="9016" w:type="dxa"/>
        <w:jc w:val="left"/>
        <w:tblInd w:w="0" w:type="dxa"/>
        <w:tblLayout w:type="fixed"/>
        <w:tblCellMar>
          <w:top w:w="57" w:type="dxa"/>
          <w:left w:w="108" w:type="dxa"/>
          <w:bottom w:w="57" w:type="dxa"/>
          <w:right w:w="108" w:type="dxa"/>
        </w:tblCellMar>
        <w:tblLook w:val="04a0" w:noHBand="0" w:noVBand="1" w:firstColumn="1" w:lastRow="0" w:lastColumn="0" w:firstRow="1"/>
      </w:tblPr>
      <w:tblGrid>
        <w:gridCol w:w="1695"/>
        <w:gridCol w:w="4679"/>
        <w:gridCol w:w="2642"/>
      </w:tblGrid>
      <w:tr>
        <w:trPr>
          <w:tblHeader w:val="true"/>
        </w:trPr>
        <w:tc>
          <w:tcPr>
            <w:tcW w:w="1695"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POLICY TITLE</w:t>
            </w:r>
          </w:p>
        </w:tc>
        <w:tc>
          <w:tcPr>
            <w:tcW w:w="4679"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AREAS ADDRESSED</w:t>
            </w:r>
          </w:p>
        </w:tc>
        <w:tc>
          <w:tcPr>
            <w:tcW w:w="2642" w:type="dxa"/>
            <w:tcBorders>
              <w:top w:val="single" w:sz="4" w:space="0" w:color="444444"/>
              <w:left w:val="single" w:sz="4" w:space="0" w:color="444444"/>
              <w:bottom w:val="single" w:sz="4" w:space="0" w:color="444444"/>
              <w:right w:val="single" w:sz="4" w:space="0" w:color="444444"/>
            </w:tcBorders>
            <w:shd w:color="auto" w:fill="009BA4" w:themeFill="text2" w:val="clear"/>
          </w:tcPr>
          <w:p>
            <w:pPr>
              <w:pStyle w:val="TableHeading"/>
              <w:widowControl/>
              <w:spacing w:before="40" w:after="40"/>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TARGET AUDIENCE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Access Control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User registration, access rights, access reviews, privileged access, and password responsibilities for banking systems.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Employees and IT personnel managing access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Technical Vulnerability Management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Identification, assessment, prioritisation, remediation, and tracking of technical vulnerabilities affecting Afaq Plus, Afaq Net, and internal systems.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IT, Information Security, and application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Network Security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Protection of banking networks, perimeter security, network segregation, remote access, monitoring, and controlled network changes.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Network and security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Secure Development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requirements, development, testing, and outsourced development for Afaq Plus and other applications.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Application development teams and mobile application supplier</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Secure Coding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Secure coding principles addressing application weaknesses identified through vulnerability assessment.</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Application development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Testing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testing before deployment and follow-up of identified findings.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Application development, testing, and Information Security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Development and Test Information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Separation of development, test, staging, and production environments and controlled use of information in testing.</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Application and infrastructure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Supplier Information Security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due diligence, supplier requirements, oversight, and review for technology and operational suppliers.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Procurement, IT, Information Security, and supplier owners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Cloud Services Security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responsibilities and oversight for non-critical services hosted with AWS.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IT governance and cloud service owners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Logging and Monitoring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Collection, protection, review, escalation, and retention of security and operational logs.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SOC and IT operations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Threat Intelligence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Collection, assessment, and communication of relevant cybersecurity threat information.</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Information Security Governance and SOC</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Business Continuity and Availability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and ICT readiness for disruption affecting digital banking and critical banking operations.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Business, IT, Information Security, and incident response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Backup and Recovery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Backup protection, recovery arrangements, and disaster recovery support for critical banking systems.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IT operations and disaster recovery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Endpoint Security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requirements for laptops and other user endpoint devices, including protection of customer information.</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All users and IT support personnel</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Cryptographic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Use of cryptography to protect sensitive information and support secure digital services.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IT and Information Security personnel</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Privacy and Personal Data Protection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Protection of customer and employee personal data and compliance with applicable Saudi privacy requirements.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All personnel handling personal data</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Information Security Awareness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Security awareness, phishing education, reporting responsibilities, and role-based training.</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All employees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Configuration Management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Controlled configuration and change management for critical network and technology components.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IT and network teams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Incident Management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Detection, reporting, escalation, response, recovery, and lessons learned for information security incidents.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All employees, SOC, incident response, and management</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Physical Security Policy</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Protection of the Riyadh headquarters, data centre, Jeddah disaster recovery site, branches, and related facilities.</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Facilities, security, IT, and all employees</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r>
        <w:trPr/>
        <w:tc>
          <w:tcPr>
            <w:tcW w:w="1695"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4679"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c>
          <w:tcPr>
            <w:tcW w:w="2642" w:type="dxa"/>
            <w:tcBorders>
              <w:top w:val="single" w:sz="4" w:space="0" w:color="444444"/>
              <w:left w:val="single" w:sz="4" w:space="0" w:color="444444"/>
              <w:bottom w:val="single" w:sz="4" w:space="0" w:color="444444"/>
              <w:right w:val="single" w:sz="4" w:space="0" w:color="444444"/>
            </w:tcBorders>
          </w:tcPr>
          <w:p>
            <w:pPr>
              <w:pStyle w:val="TableBody"/>
              <w:widowControl/>
              <w:jc w:val="left"/>
              <w:rPr>
                <w:rFonts w:ascii="Calibri" w:hAnsi="Calibri" w:eastAsia="Times New Roman" w:cs="Times New Roman"/>
                <w:kern w:val="0"/>
                <w:szCs w:val="24"/>
                <w:lang w:val="en-GB" w:eastAsia="en-US" w:bidi="ar-SA"/>
              </w:rPr>
            </w:pPr>
            <w:r>
              <w:rPr>
                <w:rFonts w:eastAsia="Times New Roman" w:cs="Times New Roman"/>
                <w:kern w:val="0"/>
                <w:szCs w:val="24"/>
                <w:lang w:val="en-GB" w:eastAsia="en-US" w:bidi="ar-SA"/>
              </w:rPr>
              <w:t>Not used as a primary policy area in the current ISMS scope</w:t>
            </w:r>
          </w:p>
        </w:tc>
      </w:tr>
    </w:tbl>
    <w:p>
      <w:pPr>
        <w:pStyle w:val="Caption"/>
        <w:rPr/>
      </w:pPr>
      <w:r>
        <w:rPr/>
        <w:t>Table 1: Set of policy documents</w:t>
      </w:r>
      <w:bookmarkStart w:id="10" w:name="_Toc110936170"/>
      <w:r>
        <w:rPr/>
        <w:fldChar w:fldCharType="begin"/>
      </w:r>
      <w:r>
        <w:rPr/>
        <w:instrText xml:space="preserve"> SEQ Table \* ARABIC </w:instrText>
      </w:r>
      <w:r>
        <w:rPr/>
        <w:fldChar w:fldCharType="separate"/>
      </w:r>
      <w:r>
        <w:rPr/>
        <w:t>1</w:t>
      </w:r>
      <w:r>
        <w:rPr/>
        <w:fldChar w:fldCharType="end"/>
      </w:r>
      <w:bookmarkEnd w:id="10"/>
    </w:p>
    <w:p>
      <w:pPr>
        <w:pStyle w:val="Normal"/>
        <w:rPr/>
      </w:pPr>
      <w:r>
        <w:rPr/>
      </w:r>
    </w:p>
    <w:p>
      <w:pPr>
        <w:pStyle w:val="Heading2"/>
        <w:numPr>
          <w:ilvl w:val="1"/>
          <w:numId w:val="3"/>
        </w:numPr>
        <w:rPr/>
      </w:pPr>
      <w:bookmarkStart w:id="11" w:name="_Toc110936169"/>
      <w:r>
        <w:rPr/>
        <w:t>2.5 Application of information security policy</w:t>
      </w:r>
      <w:bookmarkEnd w:id="11"/>
    </w:p>
    <w:p>
      <w:pPr>
        <w:pStyle w:val="Normal"/>
        <w:rPr/>
      </w:pPr>
      <w:r>
        <w:rPr/>
        <w:t>The policy statements made in this document and in the set of supporting policies listed in Table 1 have been reviewed and approved by the top management of  and must be complied with. Failure by an employee to comply with these policies may result in disciplinary action being taken in accordance with the organization’s Employee Disciplinary Process.</w:t>
      </w:r>
    </w:p>
    <w:p>
      <w:pPr>
        <w:pStyle w:val="Normal"/>
        <w:widowControl/>
        <w:bidi w:val="0"/>
        <w:spacing w:lineRule="auto" w:line="240" w:before="240" w:after="240"/>
        <w:jc w:val="left"/>
        <w:rPr/>
      </w:pPr>
      <w:r>
        <w:rPr/>
        <w:t>Questions regarding information security requirements shall be raised with the relevant line manager or the Information Security function.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rPr/>
        </w:pPr>
        <w:r>
          <w:rPr/>
          <w:t xml:space="preserve">Version </w:t>
        </w:r>
        <w:r>
          <w:rPr/>
          <w:fldChar w:fldCharType="begin"/>
        </w:r>
        <w:r>
          <w:rPr/>
          <w:instrText xml:space="preserve"> STYLEREF "Version number" </w:instrText>
        </w:r>
        <w:r>
          <w:rPr/>
          <w:fldChar w:fldCharType="separate"/>
        </w:r>
        <w:r>
          <w:rPr/>
          <w:t>1</w:t>
        </w:r>
        <w:r>
          <w:rPr/>
          <w:fldChar w:fldCharType="end"/>
        </w:r>
        <w:r>
          <w:rPr/>
          <w:tab/>
          <w:t xml:space="preserve">Page </w:t>
        </w:r>
        <w:r>
          <w:rPr/>
          <w:fldChar w:fldCharType="begin"/>
        </w:r>
        <w:r>
          <w:rPr/>
          <w:instrText xml:space="preserve"> PAGE \* ARABIC </w:instrText>
        </w:r>
        <w:r>
          <w:rPr/>
          <w:fldChar w:fldCharType="separate"/>
        </w:r>
        <w:r>
          <w:rPr/>
          <w:t>12</w:t>
        </w:r>
        <w:r>
          <w:rPr/>
          <w:fldChar w:fldCharType="end"/>
        </w:r>
        <w:r>
          <w:rPr/>
          <w:t xml:space="preserve"> of </w:t>
        </w:r>
        <w:r>
          <w:rPr/>
          <w:fldChar w:fldCharType="begin"/>
        </w:r>
        <w:r>
          <w:rPr/>
          <w:instrText xml:space="preserve"> NUMPAGES \* ARABIC </w:instrText>
        </w:r>
        <w:r>
          <w:rPr/>
          <w:fldChar w:fldCharType="separate"/>
        </w:r>
        <w:r>
          <w:rPr/>
          <w:t>12</w:t>
        </w:r>
        <w:r>
          <w:rPr/>
          <w:fldChar w:fldCharType="end"/>
        </w:r>
        <w:r>
          <w:rPr/>
          <w:tab/>
        </w:r>
        <w:r>
          <w:rPr/>
          <w:fldChar w:fldCharType="begin"/>
        </w:r>
        <w:r>
          <w:rPr/>
          <w:instrText xml:space="preserve"> STYLEREF "Toolkit Date" </w:instrText>
        </w:r>
        <w:r>
          <w:rPr/>
          <w:fldChar w:fldCharType="separate"/>
        </w:r>
        <w:r>
          <w:rPr/>
          <w:t>12 September 2026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en-US"/>
      </w:rPr>
    </w:pPr>
    <w:r>
      <w:rPr/>
      <w:t>Information Security Policy</w:t>
      <w:br/>
      <w:t>Internal</w:t>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pStyle w:val="Heading4"/>
      <w:numFmt w:val="decimal"/>
      <w:lvlText w:val="%1.%2.%3.%4"/>
      <w:lvlJc w:val="left"/>
      <w:pPr>
        <w:tabs>
          <w:tab w:val="num" w:pos="2566"/>
        </w:tabs>
        <w:ind w:left="2566" w:hanging="864"/>
      </w:pPr>
      <w:rPr>
        <w:smallCaps w:val="false"/>
        <w:caps w:val="false"/>
        <w:outline w:val="false"/>
        <w:dstrike w:val="false"/>
        <w:strike w:val="false"/>
        <w:vertAlign w:val="baseline"/>
        <w:position w:val="0"/>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3240" w:hanging="720"/>
      </w:pPr>
      <w:rPr>
        <w:rFonts w:ascii="Calibri" w:hAnsi="Calibri" w:cs="Calibri"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2566"/>
        </w:tabs>
        <w:ind w:left="2566" w:hanging="864"/>
      </w:pPr>
      <w:rPr>
        <w:smallCaps w:val="false"/>
        <w:caps w:val="false"/>
        <w:outline w:val="false"/>
        <w:dstrike w:val="false"/>
        <w:strike w:val="false"/>
        <w:vertAlign w:val="baseline"/>
        <w:position w:val="0"/>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asciiTheme="minorHAnsi" w:hAnsiTheme="minorHAnsi"/>
        <w:color w:val="444444"/>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4"/>
    <w:qFormat/>
    <w:rsid w:val="00dc46ce"/>
    <w:pPr>
      <w:widowControl/>
      <w:bidi w:val="0"/>
      <w:spacing w:lineRule="auto" w:line="240" w:before="240" w:after="240"/>
      <w:jc w:val="left"/>
    </w:pPr>
    <w:rPr>
      <w:rFonts w:ascii="Calibri" w:hAnsi="Calibri" w:eastAsia="Times New Roman" w:cs="Times New Roman" w:asciiTheme="minorHAnsi" w:hAnsiTheme="minorHAnsi"/>
      <w:color w:val="444444"/>
      <w:kern w:val="0"/>
      <w:sz w:val="24"/>
      <w:szCs w:val="24"/>
      <w:lang w:val="en-GB" w:eastAsia="en-US" w:bidi="ar-SA"/>
    </w:rPr>
  </w:style>
  <w:style w:type="paragraph" w:styleId="Heading1">
    <w:name w:val="Heading 1"/>
    <w:basedOn w:val="Normal"/>
    <w:next w:val="Heading2"/>
    <w:link w:val="Heading1Char"/>
    <w:autoRedefine/>
    <w:qFormat/>
    <w:rsid w:val="00dc46ce"/>
    <w:pPr>
      <w:keepNext w:val="true"/>
      <w:numPr>
        <w:ilvl w:val="0"/>
        <w:numId w:val="3"/>
      </w:numPr>
      <w:outlineLvl w:val="0"/>
    </w:pPr>
    <w:rPr>
      <w:rFonts w:eastAsia="" w:cs="" w:cstheme="majorBidi" w:eastAsiaTheme="majorEastAsia"/>
      <w:color w:themeColor="text2" w:val="009BA4"/>
      <w:kern w:val="2"/>
      <w:sz w:val="36"/>
    </w:rPr>
  </w:style>
  <w:style w:type="paragraph" w:styleId="Heading2">
    <w:name w:val="Heading 2"/>
    <w:basedOn w:val="Normal"/>
    <w:next w:val="Heading3"/>
    <w:link w:val="Heading2Char"/>
    <w:autoRedefine/>
    <w:uiPriority w:val="1"/>
    <w:qFormat/>
    <w:rsid w:val="00dc46ce"/>
    <w:pPr>
      <w:keepNext w:val="true"/>
      <w:numPr>
        <w:ilvl w:val="1"/>
        <w:numId w:val="3"/>
      </w:numPr>
      <w:outlineLvl w:val="1"/>
    </w:pPr>
    <w:rPr>
      <w:rFonts w:eastAsia="" w:cs="" w:cstheme="majorBidi" w:eastAsiaTheme="majorEastAsia"/>
      <w:color w:themeColor="text2" w:val="009BA4"/>
      <w:sz w:val="32"/>
    </w:rPr>
  </w:style>
  <w:style w:type="paragraph" w:styleId="Heading3">
    <w:name w:val="Heading 3"/>
    <w:basedOn w:val="Normal"/>
    <w:next w:val="Normal"/>
    <w:link w:val="Heading3Char"/>
    <w:autoRedefine/>
    <w:uiPriority w:val="2"/>
    <w:qFormat/>
    <w:rsid w:val="00dc46ce"/>
    <w:pPr>
      <w:numPr>
        <w:ilvl w:val="2"/>
        <w:numId w:val="3"/>
      </w:numPr>
      <w:tabs>
        <w:tab w:val="clear" w:pos="720"/>
        <w:tab w:val="left" w:pos="1134" w:leader="none"/>
      </w:tabs>
      <w:outlineLvl w:val="2"/>
    </w:pPr>
    <w:rPr>
      <w:rFonts w:eastAsia="" w:cs="" w:cstheme="majorBidi" w:eastAsiaTheme="majorEastAsia"/>
      <w:color w:themeColor="text2" w:val="009BA4"/>
      <w:sz w:val="28"/>
    </w:rPr>
  </w:style>
  <w:style w:type="paragraph" w:styleId="Heading4">
    <w:name w:val="Heading 4"/>
    <w:basedOn w:val="Heading3"/>
    <w:next w:val="Normal"/>
    <w:link w:val="Heading4Char"/>
    <w:uiPriority w:val="3"/>
    <w:qFormat/>
    <w:rsid w:val="00dc46ce"/>
    <w:pPr>
      <w:keepNext w:val="true"/>
      <w:keepLines/>
      <w:numPr>
        <w:ilvl w:val="3"/>
        <w:numId w:val="1"/>
      </w:numPr>
      <w:ind w:hanging="992" w:left="992"/>
      <w:outlineLvl w:val="3"/>
    </w:pPr>
    <w:rPr>
      <w:rFonts w:cs="Calibri" w:cstheme="minorHAnsi"/>
    </w:rPr>
  </w:style>
  <w:style w:type="paragraph" w:styleId="Heading5">
    <w:name w:val="Heading 5"/>
    <w:basedOn w:val="Normal"/>
    <w:next w:val="Normal"/>
    <w:link w:val="Heading5Char"/>
    <w:uiPriority w:val="9"/>
    <w:unhideWhenUsed/>
    <w:qFormat/>
    <w:rsid w:val="003d4c4a"/>
    <w:pPr>
      <w:pBdr>
        <w:bottom w:val="single" w:sz="6" w:space="1" w:color="009BA4" w:themeColor="accent1"/>
      </w:pBdr>
      <w:spacing w:before="200" w:after="0"/>
      <w:outlineLvl w:val="4"/>
    </w:pPr>
    <w:rPr>
      <w:caps/>
      <w:color w:themeColor="accent1" w:themeShade="bf" w:val="00737A"/>
      <w:spacing w:val="10"/>
    </w:rPr>
  </w:style>
  <w:style w:type="paragraph" w:styleId="Heading6">
    <w:name w:val="Heading 6"/>
    <w:basedOn w:val="Normal"/>
    <w:next w:val="Normal"/>
    <w:link w:val="Heading6Char"/>
    <w:uiPriority w:val="9"/>
    <w:semiHidden/>
    <w:unhideWhenUsed/>
    <w:qFormat/>
    <w:rsid w:val="003d4c4a"/>
    <w:pPr>
      <w:pBdr>
        <w:bottom w:val="dotted" w:sz="6" w:space="1" w:color="009BA4" w:themeColor="accent1"/>
      </w:pBdr>
      <w:spacing w:before="200" w:after="0"/>
      <w:outlineLvl w:val="5"/>
    </w:pPr>
    <w:rPr>
      <w:caps/>
      <w:color w:themeColor="accent1" w:themeShade="bf" w:val="00737A"/>
      <w:spacing w:val="10"/>
    </w:rPr>
  </w:style>
  <w:style w:type="paragraph" w:styleId="Heading7">
    <w:name w:val="Heading 7"/>
    <w:basedOn w:val="Normal"/>
    <w:next w:val="Normal"/>
    <w:link w:val="Heading7Char"/>
    <w:uiPriority w:val="9"/>
    <w:semiHidden/>
    <w:unhideWhenUsed/>
    <w:qFormat/>
    <w:rsid w:val="00dc46ce"/>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004D51"/>
    </w:rPr>
  </w:style>
  <w:style w:type="paragraph" w:styleId="Heading8">
    <w:name w:val="Heading 8"/>
    <w:basedOn w:val="Normal"/>
    <w:next w:val="Normal"/>
    <w:link w:val="Heading8Char"/>
    <w:uiPriority w:val="9"/>
    <w:semiHidden/>
    <w:unhideWhenUsed/>
    <w:qFormat/>
    <w:rsid w:val="00dc46ce"/>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606060"/>
      <w:sz w:val="21"/>
      <w:szCs w:val="21"/>
    </w:rPr>
  </w:style>
  <w:style w:type="paragraph" w:styleId="Heading9">
    <w:name w:val="Heading 9"/>
    <w:basedOn w:val="Normal"/>
    <w:next w:val="Normal"/>
    <w:link w:val="Heading9Char"/>
    <w:uiPriority w:val="9"/>
    <w:semiHidden/>
    <w:unhideWhenUsed/>
    <w:qFormat/>
    <w:rsid w:val="00dc46ce"/>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dc46ce"/>
    <w:rPr>
      <w:rFonts w:eastAsia="" w:cs="" w:cstheme="majorBidi" w:eastAsiaTheme="majorEastAsia"/>
      <w:color w:themeColor="text2" w:val="009BA4"/>
      <w:kern w:val="2"/>
      <w:sz w:val="36"/>
    </w:rPr>
  </w:style>
  <w:style w:type="character" w:styleId="Heading2Char" w:customStyle="1">
    <w:name w:val="Heading 2 Char"/>
    <w:basedOn w:val="DefaultParagraphFont"/>
    <w:link w:val="Heading2"/>
    <w:uiPriority w:val="1"/>
    <w:qFormat/>
    <w:rsid w:val="00dc46ce"/>
    <w:rPr>
      <w:rFonts w:eastAsia="" w:cs="" w:cstheme="majorBidi" w:eastAsiaTheme="majorEastAsia"/>
      <w:color w:themeColor="text2" w:val="009BA4"/>
      <w:sz w:val="32"/>
    </w:rPr>
  </w:style>
  <w:style w:type="character" w:styleId="Heading3Char" w:customStyle="1">
    <w:name w:val="Heading 3 Char"/>
    <w:basedOn w:val="DefaultParagraphFont"/>
    <w:link w:val="Heading3"/>
    <w:uiPriority w:val="2"/>
    <w:qFormat/>
    <w:rsid w:val="00dc46ce"/>
    <w:rPr>
      <w:rFonts w:eastAsia="" w:cs="" w:cstheme="majorBidi" w:eastAsiaTheme="majorEastAsia"/>
      <w:color w:themeColor="text2" w:val="009BA4"/>
      <w:sz w:val="28"/>
    </w:rPr>
  </w:style>
  <w:style w:type="character" w:styleId="BulletedlistChar" w:customStyle="1">
    <w:name w:val="Bulleted list Char"/>
    <w:basedOn w:val="DefaultParagraphFont"/>
    <w:link w:val="Bulletedlist"/>
    <w:uiPriority w:val="5"/>
    <w:qFormat/>
    <w:rsid w:val="00dc46ce"/>
    <w:rPr/>
  </w:style>
  <w:style w:type="character" w:styleId="BulletedlistheaderChar" w:customStyle="1">
    <w:name w:val="Bulleted list header Char"/>
    <w:basedOn w:val="DefaultParagraphFont"/>
    <w:link w:val="Bulletedlistheader"/>
    <w:uiPriority w:val="24"/>
    <w:qFormat/>
    <w:rsid w:val="00427115"/>
    <w:rPr>
      <w:rFonts w:cs="Calibri" w:cstheme="minorHAnsi"/>
      <w:b/>
      <w:iCs/>
      <w:color w:val="000000"/>
    </w:rPr>
  </w:style>
  <w:style w:type="character" w:styleId="HeaderChar" w:customStyle="1">
    <w:name w:val="Header Char"/>
    <w:basedOn w:val="DefaultParagraphFont"/>
    <w:link w:val="Header"/>
    <w:uiPriority w:val="99"/>
    <w:qFormat/>
    <w:rsid w:val="002908a1"/>
    <w:rPr>
      <w:rFonts w:cs="Times New Roman"/>
      <w:color w:val="444444"/>
      <w:sz w:val="24"/>
      <w:szCs w:val="20"/>
    </w:rPr>
  </w:style>
  <w:style w:type="character" w:styleId="FooterChar" w:customStyle="1">
    <w:name w:val="Footer Char"/>
    <w:basedOn w:val="DefaultParagraphFont"/>
    <w:link w:val="Footer"/>
    <w:uiPriority w:val="99"/>
    <w:qFormat/>
    <w:rsid w:val="002908a1"/>
    <w:rPr>
      <w:rFonts w:cs="Times New Roman"/>
      <w:color w:val="444444"/>
      <w:sz w:val="24"/>
      <w:szCs w:val="20"/>
    </w:rPr>
  </w:style>
  <w:style w:type="character" w:styleId="Hyperlink">
    <w:name w:val="Hyperlink"/>
    <w:basedOn w:val="DefaultParagraphFont"/>
    <w:uiPriority w:val="99"/>
    <w:unhideWhenUsed/>
    <w:rsid w:val="002908a1"/>
    <w:rPr>
      <w:color w:themeColor="hyperlink" w:val="0563C1"/>
      <w:u w:val="single"/>
    </w:rPr>
  </w:style>
  <w:style w:type="character" w:styleId="Strong">
    <w:name w:val="Strong"/>
    <w:uiPriority w:val="22"/>
    <w:qFormat/>
    <w:rsid w:val="003d4c4a"/>
    <w:rPr>
      <w:b/>
      <w:bCs/>
    </w:rPr>
  </w:style>
  <w:style w:type="character" w:styleId="BalloonTextChar" w:customStyle="1">
    <w:name w:val="Balloon Text Char"/>
    <w:basedOn w:val="DefaultParagraphFont"/>
    <w:link w:val="BalloonText"/>
    <w:uiPriority w:val="99"/>
    <w:semiHidden/>
    <w:qFormat/>
    <w:rsid w:val="002908a1"/>
    <w:rPr>
      <w:rFonts w:ascii="Segoe UI" w:hAnsi="Segoe UI" w:cs="Segoe UI"/>
      <w:color w:val="444444"/>
      <w:sz w:val="18"/>
      <w:szCs w:val="18"/>
    </w:rPr>
  </w:style>
  <w:style w:type="character" w:styleId="UnresolvedMention">
    <w:name w:val="Unresolved Mention"/>
    <w:basedOn w:val="DefaultParagraphFont"/>
    <w:uiPriority w:val="99"/>
    <w:semiHidden/>
    <w:unhideWhenUsed/>
    <w:qFormat/>
    <w:rsid w:val="005e23f7"/>
    <w:rPr>
      <w:color w:val="605E5C"/>
      <w:shd w:fill="E1DFDD" w:val="clear"/>
    </w:rPr>
  </w:style>
  <w:style w:type="character" w:styleId="FollowedHyperlink">
    <w:name w:val="FollowedHyperlink"/>
    <w:basedOn w:val="DefaultParagraphFont"/>
    <w:uiPriority w:val="99"/>
    <w:semiHidden/>
    <w:unhideWhenUsed/>
    <w:rsid w:val="005e23f7"/>
    <w:rPr>
      <w:color w:themeColor="followedHyperlink" w:val="954F72"/>
      <w:u w:val="single"/>
    </w:rPr>
  </w:style>
  <w:style w:type="character" w:styleId="TableBodyChar" w:customStyle="1">
    <w:name w:val="Table Body Char"/>
    <w:basedOn w:val="DefaultParagraphFont"/>
    <w:link w:val="TableBody"/>
    <w:uiPriority w:val="7"/>
    <w:qFormat/>
    <w:rsid w:val="00dc46ce"/>
    <w:rPr>
      <w:color w:themeColor="text1" w:val="444444"/>
      <w:sz w:val="20"/>
    </w:rPr>
  </w:style>
  <w:style w:type="character" w:styleId="TableHeadingChar" w:customStyle="1">
    <w:name w:val="Table Heading Char"/>
    <w:basedOn w:val="TableBodyChar"/>
    <w:link w:val="TableHeading"/>
    <w:uiPriority w:val="6"/>
    <w:qFormat/>
    <w:rsid w:val="00dc46ce"/>
    <w:rPr>
      <w:b/>
      <w:bCs/>
      <w:color w:themeColor="background1" w:val="FFFFFF"/>
      <w:sz w:val="20"/>
    </w:rPr>
  </w:style>
  <w:style w:type="character" w:styleId="Heading4Char" w:customStyle="1">
    <w:name w:val="Heading 4 Char"/>
    <w:basedOn w:val="DefaultParagraphFont"/>
    <w:link w:val="Heading4"/>
    <w:uiPriority w:val="3"/>
    <w:qFormat/>
    <w:rsid w:val="00dc46ce"/>
    <w:rPr>
      <w:rFonts w:eastAsia="" w:cs="Calibri" w:cstheme="minorHAnsi" w:eastAsiaTheme="majorEastAsia"/>
      <w:color w:themeColor="text2" w:val="009BA4"/>
      <w:sz w:val="28"/>
    </w:rPr>
  </w:style>
  <w:style w:type="character" w:styleId="PlaceholderText">
    <w:name w:val="Placeholder Text"/>
    <w:basedOn w:val="DefaultParagraphFont"/>
    <w:uiPriority w:val="99"/>
    <w:semiHidden/>
    <w:qFormat/>
    <w:rsid w:val="00c76662"/>
    <w:rPr>
      <w:color w:val="808080"/>
    </w:rPr>
  </w:style>
  <w:style w:type="character" w:styleId="Heading5Char" w:customStyle="1">
    <w:name w:val="Heading 5 Char"/>
    <w:basedOn w:val="DefaultParagraphFont"/>
    <w:link w:val="Heading5"/>
    <w:uiPriority w:val="9"/>
    <w:qFormat/>
    <w:rsid w:val="003d4c4a"/>
    <w:rPr>
      <w:caps/>
      <w:color w:themeColor="accent1" w:themeShade="bf" w:val="00737A"/>
      <w:spacing w:val="10"/>
    </w:rPr>
  </w:style>
  <w:style w:type="character" w:styleId="Classification" w:customStyle="1">
    <w:name w:val="Classification"/>
    <w:basedOn w:val="DefaultParagraphFont"/>
    <w:uiPriority w:val="21"/>
    <w:qFormat/>
    <w:rsid w:val="00662039"/>
    <w:rPr>
      <w:rFonts w:ascii="Calibri" w:hAnsi="Calibri" w:asciiTheme="minorHAnsi" w:hAnsiTheme="minorHAnsi"/>
      <w:sz w:val="20"/>
    </w:rPr>
  </w:style>
  <w:style w:type="character" w:styleId="Style11" w:customStyle="1">
    <w:name w:val="Style1"/>
    <w:basedOn w:val="DefaultParagraphFont"/>
    <w:uiPriority w:val="21"/>
    <w:qFormat/>
    <w:rsid w:val="00e51f56"/>
    <w:rPr>
      <w:rFonts w:ascii="Calibri" w:hAnsi="Calibri" w:asciiTheme="minorHAnsi" w:hAnsiTheme="minorHAnsi"/>
      <w:color w:val="444444"/>
      <w:sz w:val="20"/>
    </w:rPr>
  </w:style>
  <w:style w:type="character" w:styleId="Versionnumber" w:customStyle="1">
    <w:name w:val="Version number"/>
    <w:basedOn w:val="DefaultParagraphFont"/>
    <w:uiPriority w:val="19"/>
    <w:qFormat/>
    <w:rsid w:val="00e51f56"/>
    <w:rPr>
      <w:rFonts w:ascii="Calibri" w:hAnsi="Calibri" w:asciiTheme="minorHAnsi" w:hAnsiTheme="minorHAnsi"/>
      <w:sz w:val="20"/>
    </w:rPr>
  </w:style>
  <w:style w:type="character" w:styleId="ToolkitDate" w:customStyle="1">
    <w:name w:val="Toolkit Date"/>
    <w:basedOn w:val="DefaultParagraphFont"/>
    <w:uiPriority w:val="27"/>
    <w:qFormat/>
    <w:rsid w:val="00db4c5f"/>
    <w:rPr>
      <w:rFonts w:ascii="Calibri" w:hAnsi="Calibri" w:asciiTheme="minorHAnsi" w:hAnsiTheme="minorHAnsi"/>
      <w:sz w:val="20"/>
    </w:rPr>
  </w:style>
  <w:style w:type="character" w:styleId="NoSpacingChar" w:customStyle="1">
    <w:name w:val="No Spacing Char"/>
    <w:basedOn w:val="DefaultParagraphFont"/>
    <w:link w:val="NoSpacing"/>
    <w:uiPriority w:val="1"/>
    <w:qFormat/>
    <w:rsid w:val="00b77f8e"/>
    <w:rPr/>
  </w:style>
  <w:style w:type="character" w:styleId="TitleWhiteChar" w:customStyle="1">
    <w:name w:val="Title (White) Char"/>
    <w:basedOn w:val="DefaultParagraphFont"/>
    <w:link w:val="TitleWhite"/>
    <w:uiPriority w:val="11"/>
    <w:qFormat/>
    <w:rsid w:val="00dc46ce"/>
    <w:rPr>
      <w:b/>
      <w:bCs/>
      <w:color w:themeColor="background1" w:val="FFFFFF"/>
      <w:sz w:val="56"/>
      <w:szCs w:val="48"/>
    </w:rPr>
  </w:style>
  <w:style w:type="character" w:styleId="HeadingXChar" w:customStyle="1">
    <w:name w:val="Heading X Char"/>
    <w:basedOn w:val="DefaultParagraphFont"/>
    <w:link w:val="HeadingX"/>
    <w:uiPriority w:val="9"/>
    <w:qFormat/>
    <w:rsid w:val="00dc46ce"/>
    <w:rPr>
      <w:color w:themeColor="text2" w:val="009BA4"/>
      <w:sz w:val="36"/>
      <w:szCs w:val="28"/>
    </w:rPr>
  </w:style>
  <w:style w:type="character" w:styleId="HeadingYChar" w:customStyle="1">
    <w:name w:val="Heading Y Char"/>
    <w:basedOn w:val="DefaultParagraphFont"/>
    <w:link w:val="HeadingY"/>
    <w:uiPriority w:val="10"/>
    <w:qFormat/>
    <w:rsid w:val="00dc46ce"/>
    <w:rPr>
      <w:color w:themeColor="text2" w:val="009BA4"/>
      <w:sz w:val="32"/>
    </w:rPr>
  </w:style>
  <w:style w:type="character" w:styleId="TitleBlackChar" w:customStyle="1">
    <w:name w:val="Title (Black) Char"/>
    <w:basedOn w:val="DefaultParagraphFont"/>
    <w:link w:val="TitleBlack"/>
    <w:uiPriority w:val="12"/>
    <w:qFormat/>
    <w:rsid w:val="00dc46ce"/>
    <w:rPr>
      <w:b/>
      <w:bCs/>
      <w:sz w:val="56"/>
      <w:szCs w:val="48"/>
    </w:rPr>
  </w:style>
  <w:style w:type="character" w:styleId="TitlePageBlackChar" w:customStyle="1">
    <w:name w:val="Title Page (Black) Char"/>
    <w:basedOn w:val="TitleBlackChar"/>
    <w:link w:val="TitlePageBlack"/>
    <w:uiPriority w:val="35"/>
    <w:qFormat/>
    <w:rsid w:val="00c70b41"/>
    <w:rPr>
      <w:b/>
      <w:bCs/>
      <w:sz w:val="56"/>
      <w:szCs w:val="48"/>
    </w:rPr>
  </w:style>
  <w:style w:type="character" w:styleId="ToolkitNameChar" w:customStyle="1">
    <w:name w:val="Toolkit Name Char"/>
    <w:basedOn w:val="DefaultParagraphFont"/>
    <w:link w:val="ToolkitName"/>
    <w:uiPriority w:val="13"/>
    <w:qFormat/>
    <w:rsid w:val="00dc46ce"/>
    <w:rPr>
      <w:rFonts w:ascii="Calibri Light" w:hAnsi="Calibri Light" w:cs="Calibri Light" w:asciiTheme="majorHAnsi" w:cstheme="majorHAnsi" w:hAnsiTheme="majorHAnsi"/>
      <w:b/>
      <w:bCs/>
      <w:color w:themeColor="background1" w:val="FFFFFF"/>
      <w:sz w:val="36"/>
      <w:szCs w:val="36"/>
    </w:rPr>
  </w:style>
  <w:style w:type="character" w:styleId="TitlePageTableHeaderChar" w:customStyle="1">
    <w:name w:val="Title Page Table Header Char"/>
    <w:basedOn w:val="TableHeadingChar"/>
    <w:link w:val="TitlePageTableHeader"/>
    <w:uiPriority w:val="8"/>
    <w:qFormat/>
    <w:rsid w:val="00df7d15"/>
    <w:rPr>
      <w:b/>
      <w:bCs/>
      <w:color w:themeColor="background1" w:val="FFFFFF"/>
      <w:sz w:val="20"/>
    </w:rPr>
  </w:style>
  <w:style w:type="character" w:styleId="FormheaderChar" w:customStyle="1">
    <w:name w:val="Form header Char"/>
    <w:basedOn w:val="DefaultParagraphFont"/>
    <w:link w:val="Formheader"/>
    <w:uiPriority w:val="16"/>
    <w:qFormat/>
    <w:rsid w:val="00dc46ce"/>
    <w:rPr>
      <w:b/>
      <w:bCs/>
    </w:rPr>
  </w:style>
  <w:style w:type="character" w:styleId="Heading7Char" w:customStyle="1">
    <w:name w:val="Heading 7 Char"/>
    <w:basedOn w:val="DefaultParagraphFont"/>
    <w:link w:val="Heading7"/>
    <w:uiPriority w:val="9"/>
    <w:semiHidden/>
    <w:qFormat/>
    <w:rsid w:val="00dc46ce"/>
    <w:rPr>
      <w:rFonts w:ascii="Calibri Light" w:hAnsi="Calibri Light" w:eastAsia="" w:cs="" w:asciiTheme="majorHAnsi" w:cstheme="majorBidi" w:eastAsiaTheme="majorEastAsia" w:hAnsiTheme="majorHAnsi"/>
      <w:i/>
      <w:iCs/>
      <w:color w:themeColor="accent1" w:themeShade="7f" w:val="004D51"/>
    </w:rPr>
  </w:style>
  <w:style w:type="character" w:styleId="Heading8Char" w:customStyle="1">
    <w:name w:val="Heading 8 Char"/>
    <w:basedOn w:val="DefaultParagraphFont"/>
    <w:link w:val="Heading8"/>
    <w:uiPriority w:val="9"/>
    <w:semiHidden/>
    <w:qFormat/>
    <w:rsid w:val="00dc46ce"/>
    <w:rPr>
      <w:rFonts w:ascii="Calibri Light" w:hAnsi="Calibri Light" w:eastAsia="" w:cs="" w:asciiTheme="majorHAnsi" w:cstheme="majorBidi" w:eastAsiaTheme="majorEastAsia" w:hAnsiTheme="majorHAnsi"/>
      <w:color w:themeColor="text1" w:themeTint="d8" w:val="606060"/>
      <w:sz w:val="21"/>
      <w:szCs w:val="21"/>
    </w:rPr>
  </w:style>
  <w:style w:type="character" w:styleId="Heading9Char" w:customStyle="1">
    <w:name w:val="Heading 9 Char"/>
    <w:basedOn w:val="DefaultParagraphFont"/>
    <w:link w:val="Heading9"/>
    <w:uiPriority w:val="9"/>
    <w:semiHidden/>
    <w:qFormat/>
    <w:rsid w:val="00dc46ce"/>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FormtitleChar" w:customStyle="1">
    <w:name w:val="Form title Char"/>
    <w:basedOn w:val="DefaultParagraphFont"/>
    <w:link w:val="Formtitle"/>
    <w:uiPriority w:val="15"/>
    <w:qFormat/>
    <w:rsid w:val="00dc46ce"/>
    <w:rPr>
      <w:b/>
      <w:bCs/>
      <w:sz w:val="36"/>
      <w:szCs w:val="36"/>
    </w:rPr>
  </w:style>
  <w:style w:type="character" w:styleId="FormbodyChar" w:customStyle="1">
    <w:name w:val="Form body Char"/>
    <w:basedOn w:val="DefaultParagraphFont"/>
    <w:link w:val="Formbody"/>
    <w:uiPriority w:val="17"/>
    <w:qFormat/>
    <w:rsid w:val="00dc46ce"/>
    <w:rPr/>
  </w:style>
  <w:style w:type="character" w:styleId="TitleChar" w:customStyle="1">
    <w:name w:val="Title Char"/>
    <w:basedOn w:val="DefaultParagraphFont"/>
    <w:link w:val="Title"/>
    <w:uiPriority w:val="12"/>
    <w:qFormat/>
    <w:rsid w:val="003d4c4a"/>
    <w:rPr>
      <w:rFonts w:eastAsia="" w:cs="" w:cstheme="majorBidi" w:eastAsiaTheme="majorEastAsia"/>
      <w:b/>
      <w:bCs/>
      <w:sz w:val="56"/>
      <w:szCs w:val="48"/>
    </w:rPr>
  </w:style>
  <w:style w:type="character" w:styleId="Heading6Char" w:customStyle="1">
    <w:name w:val="Heading 6 Char"/>
    <w:basedOn w:val="DefaultParagraphFont"/>
    <w:link w:val="Heading6"/>
    <w:uiPriority w:val="9"/>
    <w:semiHidden/>
    <w:qFormat/>
    <w:rsid w:val="003d4c4a"/>
    <w:rPr>
      <w:caps/>
      <w:color w:themeColor="accent1" w:themeShade="bf" w:val="00737A"/>
      <w:spacing w:val="10"/>
    </w:rPr>
  </w:style>
  <w:style w:type="character" w:styleId="SubtitleChar" w:customStyle="1">
    <w:name w:val="Subtitle Char"/>
    <w:basedOn w:val="DefaultParagraphFont"/>
    <w:link w:val="Subtitle"/>
    <w:uiPriority w:val="11"/>
    <w:qFormat/>
    <w:rsid w:val="003d4c4a"/>
    <w:rPr>
      <w:caps/>
      <w:color w:themeColor="text1" w:themeTint="a6" w:val="858585"/>
      <w:spacing w:val="10"/>
      <w:sz w:val="21"/>
      <w:szCs w:val="21"/>
    </w:rPr>
  </w:style>
  <w:style w:type="character" w:styleId="Emphasis">
    <w:name w:val="Emphasis"/>
    <w:uiPriority w:val="20"/>
    <w:qFormat/>
    <w:rsid w:val="003d4c4a"/>
    <w:rPr>
      <w:caps/>
      <w:color w:themeColor="accent1" w:themeShade="7f" w:val="004D51"/>
      <w:spacing w:val="5"/>
    </w:rPr>
  </w:style>
  <w:style w:type="character" w:styleId="QuoteChar" w:customStyle="1">
    <w:name w:val="Quote Char"/>
    <w:basedOn w:val="DefaultParagraphFont"/>
    <w:link w:val="Quote"/>
    <w:uiPriority w:val="29"/>
    <w:qFormat/>
    <w:rsid w:val="003d4c4a"/>
    <w:rPr>
      <w:i/>
      <w:iCs/>
      <w:sz w:val="24"/>
      <w:szCs w:val="24"/>
    </w:rPr>
  </w:style>
  <w:style w:type="character" w:styleId="IntenseQuoteChar" w:customStyle="1">
    <w:name w:val="Intense Quote Char"/>
    <w:basedOn w:val="DefaultParagraphFont"/>
    <w:link w:val="IntenseQuote"/>
    <w:uiPriority w:val="30"/>
    <w:qFormat/>
    <w:rsid w:val="003d4c4a"/>
    <w:rPr>
      <w:color w:themeColor="accent1" w:val="009BA4"/>
      <w:sz w:val="24"/>
      <w:szCs w:val="24"/>
    </w:rPr>
  </w:style>
  <w:style w:type="character" w:styleId="SubtleEmphasis">
    <w:name w:val="Subtle Emphasis"/>
    <w:uiPriority w:val="19"/>
    <w:qFormat/>
    <w:rsid w:val="003d4c4a"/>
    <w:rPr>
      <w:i/>
      <w:iCs/>
      <w:color w:themeColor="accent1" w:themeShade="7f" w:val="004D51"/>
    </w:rPr>
  </w:style>
  <w:style w:type="character" w:styleId="IntenseEmphasis">
    <w:name w:val="Intense Emphasis"/>
    <w:uiPriority w:val="21"/>
    <w:qFormat/>
    <w:rsid w:val="003d4c4a"/>
    <w:rPr>
      <w:b/>
      <w:bCs/>
      <w:caps/>
      <w:color w:themeColor="accent1" w:themeShade="7f" w:val="004D51"/>
      <w:spacing w:val="10"/>
    </w:rPr>
  </w:style>
  <w:style w:type="character" w:styleId="SubtleReference">
    <w:name w:val="Subtle Reference"/>
    <w:uiPriority w:val="31"/>
    <w:qFormat/>
    <w:rsid w:val="003d4c4a"/>
    <w:rPr>
      <w:b/>
      <w:bCs/>
      <w:color w:themeColor="accent1" w:val="009BA4"/>
    </w:rPr>
  </w:style>
  <w:style w:type="character" w:styleId="IntenseReference">
    <w:name w:val="Intense Reference"/>
    <w:uiPriority w:val="32"/>
    <w:qFormat/>
    <w:rsid w:val="003d4c4a"/>
    <w:rPr>
      <w:b/>
      <w:bCs/>
      <w:i/>
      <w:iCs/>
      <w:caps/>
      <w:color w:themeColor="accent1" w:val="009BA4"/>
    </w:rPr>
  </w:style>
  <w:style w:type="character" w:styleId="BookTitle">
    <w:name w:val="Book Title"/>
    <w:uiPriority w:val="33"/>
    <w:qFormat/>
    <w:rsid w:val="003d4c4a"/>
    <w:rPr>
      <w:b/>
      <w:bCs/>
      <w:i/>
      <w:iCs/>
      <w:spacing w:val="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styleId="Index">
    <w:name w:val="Index"/>
    <w:basedOn w:val="Normal"/>
    <w:qFormat/>
    <w:pPr>
      <w:suppressLineNumbers/>
    </w:pPr>
    <w:rPr>
      <w:rFonts w:cs="FreeSans"/>
    </w:rPr>
  </w:style>
  <w:style w:type="paragraph" w:styleId="TOC1">
    <w:name w:val="TOC 1"/>
    <w:basedOn w:val="Normal"/>
    <w:next w:val="Normal"/>
    <w:autoRedefine/>
    <w:uiPriority w:val="39"/>
    <w:rsid w:val="0025147a"/>
    <w:pPr>
      <w:spacing w:before="120" w:after="0"/>
    </w:pPr>
    <w:rPr>
      <w:rFonts w:cs="Calibri" w:cstheme="minorHAnsi"/>
      <w:b/>
      <w:bCs/>
      <w:iCs/>
    </w:rPr>
  </w:style>
  <w:style w:type="paragraph" w:styleId="TOC2">
    <w:name w:val="TOC 2"/>
    <w:basedOn w:val="Normal"/>
    <w:next w:val="Normal"/>
    <w:autoRedefine/>
    <w:uiPriority w:val="39"/>
    <w:rsid w:val="0025147a"/>
    <w:pPr>
      <w:spacing w:before="120" w:after="0"/>
      <w:ind w:left="240"/>
    </w:pPr>
    <w:rPr>
      <w:rFonts w:cs="Calibri" w:cstheme="minorHAnsi"/>
      <w:b/>
      <w:bCs/>
      <w:sz w:val="22"/>
      <w:szCs w:val="22"/>
    </w:rPr>
  </w:style>
  <w:style w:type="paragraph" w:styleId="TOC3">
    <w:name w:val="TOC 3"/>
    <w:basedOn w:val="Normal"/>
    <w:next w:val="Normal"/>
    <w:autoRedefine/>
    <w:uiPriority w:val="39"/>
    <w:rsid w:val="0025147a"/>
    <w:pPr>
      <w:spacing w:before="0" w:after="0"/>
      <w:ind w:left="480"/>
    </w:pPr>
    <w:rPr>
      <w:rFonts w:cs="Calibri" w:cstheme="minorHAnsi"/>
      <w:sz w:val="20"/>
    </w:rPr>
  </w:style>
  <w:style w:type="paragraph" w:styleId="Bulletedlist" w:customStyle="1">
    <w:name w:val="Bulleted list"/>
    <w:basedOn w:val="ListParagraph"/>
    <w:link w:val="BulletedlistChar"/>
    <w:autoRedefine/>
    <w:uiPriority w:val="5"/>
    <w:qFormat/>
    <w:rsid w:val="00dc46ce"/>
    <w:pPr>
      <w:numPr>
        <w:ilvl w:val="0"/>
        <w:numId w:val="2"/>
      </w:numPr>
    </w:pPr>
    <w:rPr/>
  </w:style>
  <w:style w:type="paragraph" w:styleId="Bulletedlistheader" w:customStyle="1">
    <w:name w:val="Bulleted list header"/>
    <w:basedOn w:val="Normal"/>
    <w:link w:val="BulletedlistheaderChar"/>
    <w:autoRedefine/>
    <w:uiPriority w:val="24"/>
    <w:qFormat/>
    <w:rsid w:val="0025147a"/>
    <w:pPr>
      <w:spacing w:before="240" w:after="120"/>
    </w:pPr>
    <w:rPr>
      <w:rFonts w:cs="Calibri" w:cstheme="minorHAnsi"/>
      <w:b/>
      <w:iCs/>
      <w:color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2908a1"/>
    <w:pPr>
      <w:tabs>
        <w:tab w:val="clear" w:pos="720"/>
        <w:tab w:val="center" w:pos="4513" w:leader="none"/>
        <w:tab w:val="right" w:pos="9026" w:leader="none"/>
      </w:tabs>
      <w:spacing w:before="0" w:after="0"/>
    </w:pPr>
    <w:rPr/>
  </w:style>
  <w:style w:type="paragraph" w:styleId="Footer">
    <w:name w:val="Footer"/>
    <w:basedOn w:val="Normal"/>
    <w:link w:val="FooterChar"/>
    <w:uiPriority w:val="99"/>
    <w:unhideWhenUsed/>
    <w:rsid w:val="002908a1"/>
    <w:pPr>
      <w:tabs>
        <w:tab w:val="clear" w:pos="720"/>
        <w:tab w:val="center" w:pos="4513" w:leader="none"/>
        <w:tab w:val="right" w:pos="9026" w:leader="none"/>
      </w:tabs>
      <w:spacing w:before="0" w:after="0"/>
    </w:pPr>
    <w:rPr/>
  </w:style>
  <w:style w:type="paragraph" w:styleId="BalloonText">
    <w:name w:val="Balloon Text"/>
    <w:basedOn w:val="Normal"/>
    <w:link w:val="BalloonTextChar"/>
    <w:uiPriority w:val="99"/>
    <w:semiHidden/>
    <w:unhideWhenUsed/>
    <w:qFormat/>
    <w:rsid w:val="002908a1"/>
    <w:pPr/>
    <w:rPr>
      <w:rFonts w:ascii="Segoe UI" w:hAnsi="Segoe UI" w:cs="Segoe UI"/>
      <w:sz w:val="18"/>
      <w:szCs w:val="18"/>
    </w:rPr>
  </w:style>
  <w:style w:type="paragraph" w:styleId="NoSpacing">
    <w:name w:val="No Spacing"/>
    <w:link w:val="NoSpacingChar"/>
    <w:uiPriority w:val="1"/>
    <w:qFormat/>
    <w:rsid w:val="003d4c4a"/>
    <w:pPr>
      <w:widowControl/>
      <w:bidi w:val="0"/>
      <w:spacing w:lineRule="auto" w:line="240" w:before="0" w:after="0"/>
      <w:jc w:val="left"/>
    </w:pPr>
    <w:rPr>
      <w:rFonts w:ascii="Calibri" w:hAnsi="Calibri" w:eastAsia="Times New Roman" w:cs="Times New Roman" w:asciiTheme="minorHAnsi" w:hAnsiTheme="minorHAnsi"/>
      <w:color w:val="444444"/>
      <w:kern w:val="0"/>
      <w:sz w:val="24"/>
      <w:szCs w:val="24"/>
      <w:lang w:val="en-GB" w:eastAsia="en-US" w:bidi="ar-SA"/>
    </w:rPr>
  </w:style>
  <w:style w:type="paragraph" w:styleId="ListParagraph">
    <w:name w:val="List Paragraph"/>
    <w:basedOn w:val="Normal"/>
    <w:uiPriority w:val="34"/>
    <w:qFormat/>
    <w:rsid w:val="0025147a"/>
    <w:pPr>
      <w:spacing w:before="240" w:after="24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3d4c4a"/>
    <w:pPr>
      <w:numPr>
        <w:ilvl w:val="0"/>
        <w:numId w:val="3"/>
      </w:numPr>
      <w:outlineLvl w:val="9"/>
    </w:pPr>
    <w:rPr/>
  </w:style>
  <w:style w:type="paragraph" w:styleId="TOC4">
    <w:name w:val="TOC 4"/>
    <w:basedOn w:val="Normal"/>
    <w:next w:val="Normal"/>
    <w:autoRedefine/>
    <w:uiPriority w:val="39"/>
    <w:unhideWhenUsed/>
    <w:rsid w:val="00b10e7a"/>
    <w:pPr>
      <w:spacing w:before="0" w:after="0"/>
      <w:ind w:left="720"/>
    </w:pPr>
    <w:rPr>
      <w:rFonts w:cs="Calibri" w:cstheme="minorHAnsi"/>
      <w:sz w:val="20"/>
    </w:rPr>
  </w:style>
  <w:style w:type="paragraph" w:styleId="TOC5">
    <w:name w:val="TOC 5"/>
    <w:basedOn w:val="Normal"/>
    <w:next w:val="Normal"/>
    <w:autoRedefine/>
    <w:uiPriority w:val="39"/>
    <w:unhideWhenUsed/>
    <w:rsid w:val="00b10e7a"/>
    <w:pPr>
      <w:spacing w:before="0" w:after="0"/>
      <w:ind w:left="960"/>
    </w:pPr>
    <w:rPr>
      <w:rFonts w:cs="Calibri" w:cstheme="minorHAnsi"/>
      <w:sz w:val="20"/>
    </w:rPr>
  </w:style>
  <w:style w:type="paragraph" w:styleId="TOC6">
    <w:name w:val="TOC 6"/>
    <w:basedOn w:val="Normal"/>
    <w:next w:val="Normal"/>
    <w:autoRedefine/>
    <w:uiPriority w:val="39"/>
    <w:unhideWhenUsed/>
    <w:rsid w:val="00b10e7a"/>
    <w:pPr>
      <w:spacing w:before="0" w:after="0"/>
      <w:ind w:left="1200"/>
    </w:pPr>
    <w:rPr>
      <w:rFonts w:cs="Calibri" w:cstheme="minorHAnsi"/>
      <w:sz w:val="20"/>
    </w:rPr>
  </w:style>
  <w:style w:type="paragraph" w:styleId="TOC7">
    <w:name w:val="TOC 7"/>
    <w:basedOn w:val="Normal"/>
    <w:next w:val="Normal"/>
    <w:autoRedefine/>
    <w:uiPriority w:val="39"/>
    <w:unhideWhenUsed/>
    <w:rsid w:val="00b10e7a"/>
    <w:pPr>
      <w:spacing w:before="0" w:after="0"/>
      <w:ind w:left="1440"/>
    </w:pPr>
    <w:rPr>
      <w:rFonts w:cs="Calibri" w:cstheme="minorHAnsi"/>
      <w:sz w:val="20"/>
    </w:rPr>
  </w:style>
  <w:style w:type="paragraph" w:styleId="TOC8">
    <w:name w:val="TOC 8"/>
    <w:basedOn w:val="Normal"/>
    <w:next w:val="Normal"/>
    <w:autoRedefine/>
    <w:uiPriority w:val="39"/>
    <w:unhideWhenUsed/>
    <w:rsid w:val="00b10e7a"/>
    <w:pPr>
      <w:spacing w:before="0" w:after="0"/>
      <w:ind w:left="1680"/>
    </w:pPr>
    <w:rPr>
      <w:rFonts w:cs="Calibri" w:cstheme="minorHAnsi"/>
      <w:sz w:val="20"/>
    </w:rPr>
  </w:style>
  <w:style w:type="paragraph" w:styleId="TOC9">
    <w:name w:val="TOC 9"/>
    <w:basedOn w:val="Normal"/>
    <w:next w:val="Normal"/>
    <w:autoRedefine/>
    <w:uiPriority w:val="39"/>
    <w:unhideWhenUsed/>
    <w:rsid w:val="00b10e7a"/>
    <w:pPr>
      <w:spacing w:before="0" w:after="0"/>
      <w:ind w:left="1920"/>
    </w:pPr>
    <w:rPr>
      <w:rFonts w:cs="Calibri" w:cstheme="minorHAnsi"/>
      <w:sz w:val="20"/>
    </w:rPr>
  </w:style>
  <w:style w:type="paragraph" w:styleId="Default" w:customStyle="1">
    <w:name w:val="Default"/>
    <w:uiPriority w:val="21"/>
    <w:qFormat/>
    <w:rsid w:val="0042666b"/>
    <w:pPr>
      <w:widowControl/>
      <w:bidi w:val="0"/>
      <w:spacing w:lineRule="auto" w:line="240" w:before="0" w:after="0"/>
      <w:jc w:val="left"/>
    </w:pPr>
    <w:rPr>
      <w:rFonts w:ascii="Calibri" w:hAnsi="Calibri" w:eastAsia="Calibri" w:cs="Calibri"/>
      <w:color w:val="000000"/>
      <w:kern w:val="0"/>
      <w:sz w:val="24"/>
      <w:szCs w:val="24"/>
      <w:lang w:eastAsia="en-GB" w:val="en-GB" w:bidi="ar-SA"/>
    </w:rPr>
  </w:style>
  <w:style w:type="paragraph" w:styleId="TableBody" w:customStyle="1">
    <w:name w:val="Table Body"/>
    <w:basedOn w:val="Normal"/>
    <w:link w:val="TableBodyChar"/>
    <w:uiPriority w:val="7"/>
    <w:qFormat/>
    <w:rsid w:val="00dc46ce"/>
    <w:pPr>
      <w:spacing w:before="0" w:after="0"/>
    </w:pPr>
    <w:rPr>
      <w:color w:themeColor="text1" w:val="444444"/>
      <w:sz w:val="20"/>
    </w:rPr>
  </w:style>
  <w:style w:type="paragraph" w:styleId="TableContents">
    <w:name w:val="Table Contents"/>
    <w:basedOn w:val="Normal"/>
    <w:qFormat/>
    <w:pPr/>
    <w:rPr/>
  </w:style>
  <w:style w:type="paragraph" w:styleId="TableHeading" w:customStyle="1">
    <w:name w:val="Table Heading"/>
    <w:basedOn w:val="TableBody"/>
    <w:link w:val="TableHeadingChar"/>
    <w:uiPriority w:val="6"/>
    <w:qFormat/>
    <w:rsid w:val="00dc46ce"/>
    <w:pPr>
      <w:spacing w:before="40" w:after="40"/>
    </w:pPr>
    <w:rPr>
      <w:b/>
      <w:bCs/>
      <w:color w:themeColor="background1" w:val="FFFFFF"/>
    </w:rPr>
  </w:style>
  <w:style w:type="paragraph" w:styleId="TableofFigures">
    <w:name w:val="Table of Figures"/>
    <w:basedOn w:val="Normal"/>
    <w:next w:val="Normal"/>
    <w:uiPriority w:val="99"/>
    <w:unhideWhenUsed/>
    <w:rsid w:val="00c76971"/>
    <w:pPr>
      <w:spacing w:before="0" w:after="0"/>
    </w:pPr>
    <w:rPr>
      <w:rFonts w:cs="Calibri" w:cstheme="minorHAnsi"/>
      <w:b/>
      <w:iCs/>
      <w:sz w:val="22"/>
    </w:rPr>
  </w:style>
  <w:style w:type="paragraph" w:styleId="TitleWhite" w:customStyle="1">
    <w:name w:val="Title (White)"/>
    <w:basedOn w:val="Normal"/>
    <w:link w:val="TitleWhiteChar"/>
    <w:uiPriority w:val="11"/>
    <w:qFormat/>
    <w:rsid w:val="00dc46ce"/>
    <w:pPr/>
    <w:rPr>
      <w:b/>
      <w:bCs/>
      <w:color w:themeColor="background1" w:val="FFFFFF"/>
      <w:sz w:val="56"/>
      <w:szCs w:val="48"/>
    </w:rPr>
  </w:style>
  <w:style w:type="paragraph" w:styleId="TitleBlack" w:customStyle="1">
    <w:name w:val="Title (Black)"/>
    <w:basedOn w:val="Normal"/>
    <w:link w:val="TitleBlackChar"/>
    <w:uiPriority w:val="12"/>
    <w:qFormat/>
    <w:rsid w:val="00dc46ce"/>
    <w:pPr/>
    <w:rPr>
      <w:b/>
      <w:bCs/>
      <w:sz w:val="56"/>
      <w:szCs w:val="48"/>
    </w:rPr>
  </w:style>
  <w:style w:type="paragraph" w:styleId="HeadingX" w:customStyle="1">
    <w:name w:val="Heading X"/>
    <w:basedOn w:val="Normal"/>
    <w:link w:val="HeadingXChar"/>
    <w:uiPriority w:val="9"/>
    <w:qFormat/>
    <w:rsid w:val="00dc46ce"/>
    <w:pPr/>
    <w:rPr>
      <w:color w:themeColor="text2" w:val="009BA4"/>
      <w:sz w:val="36"/>
      <w:szCs w:val="28"/>
    </w:rPr>
  </w:style>
  <w:style w:type="paragraph" w:styleId="HeadingY" w:customStyle="1">
    <w:name w:val="Heading Y"/>
    <w:basedOn w:val="Normal"/>
    <w:link w:val="HeadingYChar"/>
    <w:uiPriority w:val="10"/>
    <w:qFormat/>
    <w:rsid w:val="00dc46ce"/>
    <w:pPr/>
    <w:rPr>
      <w:color w:themeColor="text2" w:val="009BA4"/>
      <w:sz w:val="32"/>
    </w:rPr>
  </w:style>
  <w:style w:type="paragraph" w:styleId="TitlePageBlack" w:customStyle="1">
    <w:name w:val="Title Page (Black)"/>
    <w:basedOn w:val="TitleBlack"/>
    <w:link w:val="TitlePageBlackChar"/>
    <w:uiPriority w:val="35"/>
    <w:qFormat/>
    <w:rsid w:val="00dd47bf"/>
    <w:pPr/>
    <w:rPr/>
  </w:style>
  <w:style w:type="paragraph" w:styleId="ToolkitName" w:customStyle="1">
    <w:name w:val="Toolkit Name"/>
    <w:basedOn w:val="Normal"/>
    <w:link w:val="ToolkitNameChar"/>
    <w:uiPriority w:val="13"/>
    <w:qFormat/>
    <w:rsid w:val="00dc46ce"/>
    <w:pPr>
      <w:jc w:val="right"/>
    </w:pPr>
    <w:rPr>
      <w:rFonts w:ascii="Calibri Light" w:hAnsi="Calibri Light" w:cs="Calibri Light" w:asciiTheme="majorHAnsi" w:cstheme="majorHAnsi" w:hAnsiTheme="majorHAnsi"/>
      <w:b/>
      <w:bCs/>
      <w:color w:themeColor="background1" w:val="FFFFFF"/>
      <w:sz w:val="36"/>
      <w:szCs w:val="36"/>
    </w:rPr>
  </w:style>
  <w:style w:type="paragraph" w:styleId="TitlePageTableHeader" w:customStyle="1">
    <w:name w:val="Title Page Table Header"/>
    <w:basedOn w:val="TableHeading"/>
    <w:link w:val="TitlePageTableHeaderChar"/>
    <w:uiPriority w:val="8"/>
    <w:qFormat/>
    <w:rsid w:val="00df7d15"/>
    <w:pPr/>
    <w:rPr/>
  </w:style>
  <w:style w:type="paragraph" w:styleId="Formheader" w:customStyle="1">
    <w:name w:val="Form header"/>
    <w:basedOn w:val="Normal"/>
    <w:link w:val="FormheaderChar"/>
    <w:uiPriority w:val="16"/>
    <w:qFormat/>
    <w:rsid w:val="00dc46ce"/>
    <w:pPr>
      <w:spacing w:before="60" w:after="60"/>
    </w:pPr>
    <w:rPr>
      <w:b/>
      <w:bCs/>
    </w:rPr>
  </w:style>
  <w:style w:type="paragraph" w:styleId="Formtitle" w:customStyle="1">
    <w:name w:val="Form title"/>
    <w:basedOn w:val="Normal"/>
    <w:link w:val="FormtitleChar"/>
    <w:uiPriority w:val="15"/>
    <w:qFormat/>
    <w:rsid w:val="00dc46ce"/>
    <w:pPr>
      <w:jc w:val="right"/>
    </w:pPr>
    <w:rPr>
      <w:b/>
      <w:bCs/>
      <w:sz w:val="36"/>
      <w:szCs w:val="36"/>
    </w:rPr>
  </w:style>
  <w:style w:type="paragraph" w:styleId="Formbody" w:customStyle="1">
    <w:name w:val="Form body"/>
    <w:basedOn w:val="Normal"/>
    <w:link w:val="FormbodyChar"/>
    <w:uiPriority w:val="17"/>
    <w:qFormat/>
    <w:rsid w:val="00dc46ce"/>
    <w:pPr>
      <w:spacing w:before="60" w:after="60"/>
    </w:pPr>
    <w:rPr/>
  </w:style>
  <w:style w:type="paragraph" w:styleId="Title">
    <w:name w:val="Title"/>
    <w:basedOn w:val="Normal"/>
    <w:link w:val="TitleChar"/>
    <w:uiPriority w:val="12"/>
    <w:qFormat/>
    <w:rsid w:val="003d4c4a"/>
    <w:pPr/>
    <w:rPr>
      <w:rFonts w:eastAsia="" w:cs="" w:cstheme="majorBidi" w:eastAsiaTheme="majorEastAsia"/>
      <w:b/>
      <w:bCs/>
      <w:sz w:val="56"/>
      <w:szCs w:val="48"/>
    </w:rPr>
  </w:style>
  <w:style w:type="paragraph" w:styleId="Subtitle">
    <w:name w:val="Subtitle"/>
    <w:basedOn w:val="Normal"/>
    <w:next w:val="Normal"/>
    <w:link w:val="SubtitleChar"/>
    <w:uiPriority w:val="11"/>
    <w:qFormat/>
    <w:rsid w:val="003d4c4a"/>
    <w:pPr>
      <w:spacing w:before="0" w:after="500"/>
    </w:pPr>
    <w:rPr>
      <w:caps/>
      <w:color w:themeColor="text1" w:themeTint="a6" w:val="858585"/>
      <w:spacing w:val="10"/>
      <w:sz w:val="21"/>
      <w:szCs w:val="21"/>
    </w:rPr>
  </w:style>
  <w:style w:type="paragraph" w:styleId="Quote">
    <w:name w:val="Quote"/>
    <w:basedOn w:val="Normal"/>
    <w:next w:val="Normal"/>
    <w:link w:val="QuoteChar"/>
    <w:uiPriority w:val="29"/>
    <w:qFormat/>
    <w:rsid w:val="003d4c4a"/>
    <w:pPr/>
    <w:rPr>
      <w:i/>
      <w:iCs/>
    </w:rPr>
  </w:style>
  <w:style w:type="paragraph" w:styleId="IntenseQuote">
    <w:name w:val="Intense Quote"/>
    <w:basedOn w:val="Normal"/>
    <w:next w:val="Normal"/>
    <w:link w:val="IntenseQuoteChar"/>
    <w:uiPriority w:val="30"/>
    <w:qFormat/>
    <w:rsid w:val="003d4c4a"/>
    <w:pPr>
      <w:ind w:left="1080" w:right="1080"/>
      <w:jc w:val="center"/>
    </w:pPr>
    <w:rPr>
      <w:color w:themeColor="accent1" w:val="009BA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08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lAfaqtables">
    <w:name w:val="Al-Afaq tables"/>
    <w:basedOn w:val="TableNormal"/>
    <w:uiPriority w:val="99"/>
    <w:rsid w:val="00612402"/>
    <w:pPr>
      <w:spacing w:after="0" w:line="240" w:lineRule="auto"/>
    </w:pPr>
  </w:style>
  <w:style w:type="table" w:styleId="TableGridLight">
    <w:name w:val="Grid Table Light"/>
    <w:basedOn w:val="TableNormal"/>
    <w:uiPriority w:val="40"/>
    <w:rsid w:val="0061240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color="A1A1A1" w:themeColor="text1" w:themeTint="80" w:sz="4" w:space="0"/>
        <w:bottom w:val="single" w:color="A1A1A1" w:themeColor="text1" w:themeTint="80" w:sz="4" w:space="0"/>
      </w:tblBorders>
    </w:tblPr>
    <w:tblStylePr w:type="firstRow">
      <w:rPr>
        <w:b/>
        <w:bCs/>
      </w:rPr>
      <w:tblPr/>
      <w:tcPr>
        <w:tcBorders>
          <w:bottom w:val="single" w:color="A1A1A1" w:themeColor="text1" w:sz="4" w:space="0"/>
        </w:tcBorders>
      </w:tcPr>
    </w:tblStylePr>
    <w:tblStylePr w:type="lastRow">
      <w:rPr>
        <w:b/>
        <w:bCs/>
      </w:rPr>
      <w:tblPr/>
      <w:tcPr>
        <w:tcBorders>
          <w:top w:val="single" w:color="A1A1A1" w:themeColor="text1" w:sz="4" w:space="0"/>
        </w:tcBorders>
      </w:tcPr>
    </w:tblStylePr>
    <w:tblStylePr w:type="firstCol">
      <w:rPr>
        <w:b/>
        <w:bCs/>
      </w:rPr>
      <w:tblPr/>
    </w:tblStylePr>
    <w:tblStylePr w:type="lastCol">
      <w:rPr>
        <w:b/>
        <w:bCs/>
      </w:rPr>
      <w:tblPr/>
    </w:tblStylePr>
    <w:tblStylePr w:type="band1Vert">
      <w:tblPr/>
      <w:tcPr>
        <w:tcBorders>
          <w:left w:val="single" w:color="A1A1A1" w:themeColor="text1" w:sz="4" w:space="0"/>
          <w:right w:val="single" w:color="A1A1A1" w:themeColor="text1" w:sz="4" w:space="0"/>
        </w:tcBorders>
      </w:tcPr>
    </w:tblStylePr>
    <w:tblStylePr w:type="band2Vert">
      <w:tblPr/>
      <w:tcPr>
        <w:tcBorders>
          <w:left w:val="single" w:color="A1A1A1" w:themeColor="text1" w:sz="4" w:space="0"/>
          <w:right w:val="single" w:color="A1A1A1" w:themeColor="text1" w:sz="4" w:space="0"/>
        </w:tcBorders>
      </w:tcPr>
    </w:tblStylePr>
    <w:tblStylePr w:type="band1Horz">
      <w:tblPr/>
      <w:tcPr>
        <w:tcBorders>
          <w:top w:val="single" w:color="A1A1A1" w:themeColor="text1" w:sz="4" w:space="0"/>
          <w:bottom w:val="single" w:color="A1A1A1"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3A53425E4D446CB00BCB6A89E9B8E0"/>
        <w:category>
          <w:name w:val="General"/>
          <w:gallery w:val="placeholder"/>
        </w:category>
        <w:types>
          <w:type w:val="bbPlcHdr"/>
        </w:types>
        <w:behaviors>
          <w:behavior w:val="content"/>
        </w:behaviors>
        <w:guid w:val="{85178F97-0EA9-437D-A460-85C4DD038644}"/>
      </w:docPartPr>
      <w:docPartBody>
        <w:p w:rsidR="00A511C8" w:rsidRDefault="00741E17" w:rsidP="00741E17">
          <w:pPr>
            <w:pStyle w:val="2D3A53425E4D446CB00BCB6A89E9B8E0"/>
          </w:pPr>
          <w:r w:rsidRPr="00362E47">
            <w:rPr>
              <w:rStyle w:val="PlaceholderText"/>
            </w:rPr>
            <w:t>Click or tap here to enter text.</w:t>
          </w:r>
        </w:p>
      </w:docPartBody>
    </w:docPart>
    <w:docPart>
      <w:docPartPr>
        <w:name w:val="BB316B96C5864064A972B2CA55349196"/>
        <w:category>
          <w:name w:val="General"/>
          <w:gallery w:val="placeholder"/>
        </w:category>
        <w:types>
          <w:type w:val="bbPlcHdr"/>
        </w:types>
        <w:behaviors>
          <w:behavior w:val="content"/>
        </w:behaviors>
        <w:guid w:val="{320AFC60-93A0-45B8-B6F6-1BBD585FBCB7}"/>
      </w:docPartPr>
      <w:docPartBody>
        <w:p w:rsidR="00A511C8" w:rsidRDefault="00741E17" w:rsidP="00741E17">
          <w:pPr>
            <w:pStyle w:val="BB316B96C5864064A972B2CA55349196"/>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4A70"/>
    <w:rsid w:val="000A7125"/>
    <w:rsid w:val="000D5F12"/>
    <w:rsid w:val="001151DE"/>
    <w:rsid w:val="00133F2C"/>
    <w:rsid w:val="001574F6"/>
    <w:rsid w:val="001653F8"/>
    <w:rsid w:val="001777D3"/>
    <w:rsid w:val="001944A3"/>
    <w:rsid w:val="001D4C48"/>
    <w:rsid w:val="001D7D4C"/>
    <w:rsid w:val="001E0136"/>
    <w:rsid w:val="001F52FD"/>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41E17"/>
    <w:rsid w:val="0079194A"/>
    <w:rsid w:val="007C4C8E"/>
    <w:rsid w:val="007C5F4A"/>
    <w:rsid w:val="007D2207"/>
    <w:rsid w:val="007E0D2A"/>
    <w:rsid w:val="00846105"/>
    <w:rsid w:val="0089297F"/>
    <w:rsid w:val="009C32BE"/>
    <w:rsid w:val="00A511C8"/>
    <w:rsid w:val="00AA26D2"/>
    <w:rsid w:val="00AA6D9F"/>
    <w:rsid w:val="00AE75FB"/>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E17"/>
    <w:rPr>
      <w:color w:val="808080"/>
    </w:rPr>
  </w:style>
  <w:style w:type="paragraph" w:customStyle="1" w:styleId="2D3A53425E4D446CB00BCB6A89E9B8E0">
    <w:name w:val="2D3A53425E4D446CB00BCB6A89E9B8E0"/>
    <w:rsid w:val="00741E17"/>
  </w:style>
  <w:style w:type="paragraph" w:customStyle="1" w:styleId="BB316B96C5864064A972B2CA55349196">
    <w:name w:val="BB316B96C5864064A972B2CA55349196"/>
    <w:rsid w:val="00741E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Al-Afaq Theme">
  <a:themeElements>
    <a:clrScheme name="Al-Afaq colours">
      <a:dk1>
        <a:srgbClr val="444444"/>
      </a:dk1>
      <a:lt1>
        <a:srgbClr val="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3C29F010-B7C5-4503-ADDD-E053073C4D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89C290-F305-43C5-8BAA-0D389BE8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Application>LibreOffice/24.2.7.2$Linux_X86_64 LibreOffice_project/420$Build-2</Application>
  <AppVersion>15.0000</AppVersion>
  <Pages>12</Pages>
  <Words>2397</Words>
  <Characters>13880</Characters>
  <CharactersWithSpaces>15950</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2019-07-31T13:20:00Z</dcterms:created>
  <dc:creator>Al-Afaq Digital Bank</dc:creator>
  <dc:description/>
  <dc:language>en-US</dc:language>
  <cp:lastModifiedBy/>
  <dcterms:modified xsi:type="dcterms:W3CDTF">2026-09-13T04:47:11Z</dcterms:modified>
  <cp:revision>896</cp:revision>
  <dc:subject/>
  <dc:title>Al-Afaq Digital Bank ISMS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0x010100DA843292D49187418BD21D9C97EA6F65</vt:lpwstr>
  </property>
  <property fmtid="{D5CDD505-2E9C-101B-9397-08002B2CF9AE}" pid="4" name="MediaServiceImageTags">
    <vt:lpwstr/>
  </property>
  <property fmtid="{D5CDD505-2E9C-101B-9397-08002B2CF9AE}" pid="5" name="Order">
    <vt:r8>1273800</vt:r8>
  </property>
  <property fmtid="{D5CDD505-2E9C-101B-9397-08002B2CF9AE}" pid="6" name="Organization Name">
    <vt:lpwstr>[Organization Name]</vt:lpwstr>
  </property>
  <property fmtid="{D5CDD505-2E9C-101B-9397-08002B2CF9AE}" pid="7" name="TriggerFlowInfo">
    <vt:lpwstr/>
  </property>
  <property fmtid="{D5CDD505-2E9C-101B-9397-08002B2CF9AE}" pid="8" name="_ExtendedDescription">
    <vt:lpwstr/>
  </property>
</Properties>
</file>