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100" w:after="100"/>
        <w:jc w:val="center"/>
        <w:rPr/>
      </w:pPr>
      <w:r>
        <w:rPr>
          <w:b/>
          <w:color w:val="2F5597"/>
          <w:sz w:val="32"/>
        </w:rPr>
        <w:t>AL-AFAQ DIGITAL BANK</w:t>
      </w:r>
    </w:p>
    <w:p>
      <w:pPr>
        <w:pStyle w:val="Normal"/>
        <w:spacing w:before="360" w:after="100"/>
        <w:jc w:val="center"/>
        <w:rPr/>
      </w:pPr>
      <w:r>
        <w:rPr>
          <w:rFonts w:ascii="Aptos Display" w:hAnsi="Aptos Display"/>
          <w:b/>
          <w:color w:val="17365D"/>
          <w:sz w:val="56"/>
        </w:rPr>
        <w:t>INFORMATION SECURITY</w:t>
        <w:br/>
        <w:t>RISK APPETITE</w:t>
        <w:br/>
        <w:t>STATEMENT</w:t>
      </w:r>
    </w:p>
    <w:p>
      <w:pPr>
        <w:pStyle w:val="Normal"/>
        <w:jc w:val="center"/>
        <w:rPr/>
      </w:pPr>
      <w:r>
        <w:rPr>
          <w:i/>
          <w:sz w:val="24"/>
        </w:rPr>
        <w:t>Information Security Management System (ISMS)</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blHeader w:val="true"/>
        </w:trPr>
        <w:tc>
          <w:tcPr>
            <w:tcW w:w="5040" w:type="dxa"/>
            <w:tcBorders/>
            <w:shd w:fill="1F4E7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Document Control</w:t>
            </w:r>
          </w:p>
        </w:tc>
        <w:tc>
          <w:tcPr>
            <w:tcW w:w="5039" w:type="dxa"/>
            <w:tcBorders/>
            <w:shd w:fill="1F4E7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Value</w:t>
            </w:r>
          </w:p>
        </w:tc>
      </w:tr>
      <w:tr>
        <w:trPr/>
        <w:tc>
          <w:tcPr>
            <w:tcW w:w="5040" w:type="dxa"/>
            <w:tcBorders/>
            <w:shd w:fill="F3F6F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Classification</w:t>
            </w:r>
          </w:p>
        </w:tc>
        <w:tc>
          <w:tcPr>
            <w:tcW w:w="5039" w:type="dxa"/>
            <w:tcBorders/>
            <w:shd w:fill="F3F6F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Internal</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Version</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1.0</w:t>
            </w:r>
          </w:p>
        </w:tc>
      </w:tr>
      <w:tr>
        <w:trPr/>
        <w:tc>
          <w:tcPr>
            <w:tcW w:w="5040" w:type="dxa"/>
            <w:tcBorders/>
            <w:shd w:fill="F3F6F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Document Author</w:t>
            </w:r>
          </w:p>
        </w:tc>
        <w:tc>
          <w:tcPr>
            <w:tcW w:w="5039" w:type="dxa"/>
            <w:tcBorders/>
            <w:shd w:fill="F3F6F9"/>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ascii="Arial" w:hAnsi="Arial"/>
                <w:b w:val="false"/>
                <w:color w:val="444444"/>
                <w:kern w:val="0"/>
                <w:sz w:val="18"/>
                <w:szCs w:val="24"/>
                <w:lang w:val="en-GB" w:eastAsia="en-US" w:bidi="ar-SA"/>
              </w:rPr>
              <w:t xml:space="preserve">Shiban , </w:t>
            </w:r>
            <w:r>
              <w:rPr>
                <w:rFonts w:eastAsia="Times New Roman" w:cs="Times New Roman" w:ascii="Arial" w:hAnsi="Arial"/>
                <w:b w:val="false"/>
                <w:color w:val="444444"/>
                <w:kern w:val="0"/>
                <w:sz w:val="18"/>
                <w:szCs w:val="24"/>
                <w:lang w:val="en-GB" w:eastAsia="en-US" w:bidi="ar-SA"/>
              </w:rPr>
              <w:t>Eyad , Rayan ,Bashar and Alshreef</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Approved By</w:t>
            </w:r>
          </w:p>
        </w:tc>
        <w:tc>
          <w:tcPr>
            <w:tcW w:w="5039" w:type="dxa"/>
            <w:tcBorders/>
            <w:vAlign w:val="center"/>
          </w:tcPr>
          <w:p>
            <w:pPr>
              <w:pStyle w:val="Normal"/>
              <w:widowControl/>
              <w:spacing w:lineRule="auto" w:line="240" w:before="0" w:after="0"/>
              <w:jc w:val="left"/>
              <w:rPr>
                <w:rFonts w:ascii="Aptos" w:hAnsi="Aptos"/>
                <w:b w:val="false"/>
                <w:sz w:val="17"/>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Dr. Noura Al-Qahtani, Chief Executive Officer</w:t>
            </w:r>
          </w:p>
          <w:p>
            <w:pPr>
              <w:pStyle w:val="Normal"/>
              <w:widowControl/>
              <w:spacing w:lineRule="auto" w:line="240" w:before="0" w:after="0"/>
              <w:jc w:val="left"/>
              <w:rPr>
                <w:rFonts w:ascii="Aptos" w:hAnsi="Aptos"/>
                <w:b w:val="false"/>
                <w:sz w:val="17"/>
              </w:rPr>
            </w:pPr>
            <w:r>
              <w:rPr>
                <w:rFonts w:eastAsia="ＭＳ 明朝" w:cs=""/>
                <w:kern w:val="0"/>
                <w:szCs w:val="22"/>
                <w:lang w:val="en-US" w:eastAsia="en-US" w:bidi="ar-SA"/>
              </w:rPr>
            </w:r>
          </w:p>
        </w:tc>
      </w:tr>
      <w:tr>
        <w:trPr/>
        <w:tc>
          <w:tcPr>
            <w:tcW w:w="5040" w:type="dxa"/>
            <w:tcBorders/>
            <w:shd w:fill="F3F6F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Owner</w:t>
            </w:r>
          </w:p>
        </w:tc>
        <w:tc>
          <w:tcPr>
            <w:tcW w:w="5039" w:type="dxa"/>
            <w:tcBorders/>
            <w:shd w:fill="F3F6F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Information Security Management</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Date Last Updated</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13 September 2026</w:t>
            </w:r>
          </w:p>
        </w:tc>
      </w:tr>
      <w:tr>
        <w:trPr/>
        <w:tc>
          <w:tcPr>
            <w:tcW w:w="5040" w:type="dxa"/>
            <w:tcBorders/>
            <w:shd w:fill="F3F6F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Review Frequency</w:t>
            </w:r>
          </w:p>
        </w:tc>
        <w:tc>
          <w:tcPr>
            <w:tcW w:w="5039" w:type="dxa"/>
            <w:tcBorders/>
            <w:shd w:fill="F3F6F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Annual and upon significant change</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Next Review</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13 September 2027</w:t>
            </w:r>
          </w:p>
        </w:tc>
      </w:tr>
      <w:tr>
        <w:trPr/>
        <w:tc>
          <w:tcPr>
            <w:tcW w:w="5040" w:type="dxa"/>
            <w:tcBorders/>
            <w:shd w:fill="F3F6F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Comments</w:t>
            </w:r>
          </w:p>
        </w:tc>
        <w:tc>
          <w:tcPr>
            <w:tcW w:w="5039" w:type="dxa"/>
            <w:tcBorders/>
            <w:shd w:fill="F3F6F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Defines risk acceptance thresholds and governance requirements for information security risks.</w:t>
            </w:r>
          </w:p>
        </w:tc>
      </w:tr>
    </w:tbl>
    <w:p>
      <w:pPr>
        <w:pStyle w:val="Normal"/>
        <w:spacing w:before="0" w:after="20"/>
        <w:rPr/>
      </w:pPr>
      <w:r>
        <w:rPr/>
      </w:r>
    </w:p>
    <w:p>
      <w:pPr>
        <w:pStyle w:val="Normal"/>
        <w:rPr/>
      </w:pPr>
      <w:r>
        <w:rPr/>
      </w:r>
      <w:r>
        <w:br w:type="page"/>
      </w:r>
    </w:p>
    <w:p>
      <w:pPr>
        <w:pStyle w:val="Heading1"/>
        <w:spacing w:before="0" w:after="0"/>
        <w:rPr/>
      </w:pPr>
      <w:r>
        <w:rPr/>
        <w:t>Contents</w:t>
      </w:r>
    </w:p>
    <w:p>
      <w:pPr>
        <w:pStyle w:val="Normal"/>
        <w:rPr/>
      </w:pPr>
      <w:r>
        <w:rPr/>
        <w:t>1. Purpose</w:t>
      </w:r>
    </w:p>
    <w:p>
      <w:pPr>
        <w:pStyle w:val="Normal"/>
        <w:rPr/>
      </w:pPr>
      <w:r>
        <w:rPr/>
        <w:t>2. Risk Appetite Thresholds</w:t>
      </w:r>
    </w:p>
    <w:p>
      <w:pPr>
        <w:pStyle w:val="Normal"/>
        <w:rPr/>
      </w:pPr>
      <w:r>
        <w:rPr/>
        <w:t>3. Risk Acceptance</w:t>
      </w:r>
    </w:p>
    <w:p>
      <w:pPr>
        <w:pStyle w:val="Normal"/>
        <w:rPr/>
      </w:pPr>
      <w:r>
        <w:rPr/>
        <w:t>4. Risk Appetite Review</w:t>
      </w:r>
    </w:p>
    <w:p>
      <w:pPr>
        <w:pStyle w:val="Normal"/>
        <w:rPr/>
      </w:pPr>
      <w:r>
        <w:rPr/>
        <w:t>Approval and Signature</w:t>
      </w:r>
    </w:p>
    <w:p>
      <w:pPr>
        <w:pStyle w:val="Normal"/>
        <w:rPr/>
      </w:pPr>
      <w:r>
        <w:rPr/>
      </w:r>
      <w:r>
        <w:br w:type="page"/>
      </w:r>
    </w:p>
    <w:p>
      <w:pPr>
        <w:pStyle w:val="Heading1"/>
        <w:spacing w:before="0" w:after="0"/>
        <w:rPr/>
      </w:pPr>
      <w:r>
        <w:rPr/>
        <w:t>1. Purpose</w:t>
      </w:r>
    </w:p>
    <w:p>
      <w:pPr>
        <w:pStyle w:val="Normal"/>
        <w:rPr/>
      </w:pPr>
      <w:r>
        <w:rPr/>
        <w:t>The information security risk appetite of Al-Afaq Digital Bank defines the level of information security risk the bank is willing to retain while pursuing its business and digital banking objectives. It establishes clear decision-making thresholds for accepting, treating and escalating risks.</w:t>
      </w:r>
    </w:p>
    <w:p>
      <w:pPr>
        <w:pStyle w:val="Normal"/>
        <w:rPr/>
      </w:pPr>
      <w:r>
        <w:rPr/>
        <w:t>The risk appetite supports consistent risk decisions across the bank and is aligned with the bank's need to protect customer and employee information, maintain reliable digital banking services, meet regulatory obligations and preserve customer trust. The bank operates under the supervision of the Saudi Central Bank and is subject to requirements relating to personal data protection and other applicable legal and regulatory obligations.</w:t>
      </w:r>
    </w:p>
    <w:p>
      <w:pPr>
        <w:pStyle w:val="Normal"/>
        <w:rPr/>
      </w:pPr>
      <w:r>
        <w:rPr/>
        <w:t>The statement is applied together with the Security Risk Assessment and Treatment Methodology and the Information Security Risk Log. Risk scores are determined using the approved five-point likelihood and impact scales.</w:t>
      </w:r>
    </w:p>
    <w:p>
      <w:pPr>
        <w:pStyle w:val="Heading1"/>
        <w:rPr/>
      </w:pPr>
      <w:r>
        <w:rPr/>
        <w:t>2. Risk Appetite Thresholds</w:t>
      </w:r>
    </w:p>
    <w:p>
      <w:pPr>
        <w:pStyle w:val="Normal"/>
        <w:rPr/>
      </w:pPr>
      <w:r>
        <w:rPr/>
        <w:t>The following thresholds apply to information security risks identified through risk assessments and ongoing monitoring. The score is calculated as Likelihood multiplied by Impact.</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60"/>
        <w:gridCol w:w="3360"/>
        <w:gridCol w:w="3360"/>
      </w:tblGrid>
      <w:tr>
        <w:trPr>
          <w:tblHeader w:val="true"/>
        </w:trPr>
        <w:tc>
          <w:tcPr>
            <w:tcW w:w="3360" w:type="dxa"/>
            <w:tcBorders/>
            <w:shd w:fill="1F4E7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Risk Level</w:t>
            </w:r>
          </w:p>
        </w:tc>
        <w:tc>
          <w:tcPr>
            <w:tcW w:w="3360" w:type="dxa"/>
            <w:tcBorders/>
            <w:shd w:fill="1F4E7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Score Range</w:t>
            </w:r>
          </w:p>
        </w:tc>
        <w:tc>
          <w:tcPr>
            <w:tcW w:w="3360" w:type="dxa"/>
            <w:tcBorders/>
            <w:shd w:fill="1F4E7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Appetite and Treatment Requirement</w:t>
            </w:r>
          </w:p>
        </w:tc>
      </w:tr>
      <w:tr>
        <w:trPr/>
        <w:tc>
          <w:tcPr>
            <w:tcW w:w="3360" w:type="dxa"/>
            <w:tcBorders/>
            <w:shd w:fill="F3F6F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LOW</w:t>
            </w:r>
          </w:p>
        </w:tc>
        <w:tc>
          <w:tcPr>
            <w:tcW w:w="3360" w:type="dxa"/>
            <w:tcBorders/>
            <w:shd w:fill="F3F6F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1–4</w:t>
            </w:r>
          </w:p>
        </w:tc>
        <w:tc>
          <w:tcPr>
            <w:tcW w:w="3360" w:type="dxa"/>
            <w:tcBorders/>
            <w:shd w:fill="F3F6F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May be accepted without a formal treatment plan when the risk is within approved appetite. The rationale is documented in the Risk Log and the risk remains subject to monitoring.</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MEDIUM</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5–10</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Requires a documented treatment plan, a named owner and a target completion date. Information Security Governance review is recommended and progress is reported quarterly.</w:t>
            </w:r>
          </w:p>
        </w:tc>
      </w:tr>
      <w:tr>
        <w:trPr/>
        <w:tc>
          <w:tcPr>
            <w:tcW w:w="3360" w:type="dxa"/>
            <w:tcBorders/>
            <w:shd w:fill="F3F6F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HIGH</w:t>
            </w:r>
          </w:p>
        </w:tc>
        <w:tc>
          <w:tcPr>
            <w:tcW w:w="3360" w:type="dxa"/>
            <w:tcBorders/>
            <w:shd w:fill="F3F6F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11–15</w:t>
            </w:r>
          </w:p>
        </w:tc>
        <w:tc>
          <w:tcPr>
            <w:tcW w:w="3360" w:type="dxa"/>
            <w:tcBorders/>
            <w:shd w:fill="F3F6F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Requires a documented treatment plan and formal governance oversight. The plan requires Information Security Governance approval before implementation, with a named senior owner and quarterly progress review.</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CRITICAL</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16–25</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Outside the bank's normal risk appetite. Requires immediate escalation to Information Security Governance and executive management, a mandatory treatment plan, contingency planning and monthly progress review.</w:t>
            </w:r>
          </w:p>
        </w:tc>
      </w:tr>
    </w:tbl>
    <w:p>
      <w:pPr>
        <w:pStyle w:val="Normal"/>
        <w:spacing w:before="0" w:after="20"/>
        <w:rPr/>
      </w:pPr>
      <w:r>
        <w:rPr/>
      </w:r>
    </w:p>
    <w:p>
      <w:pPr>
        <w:pStyle w:val="Heading2"/>
        <w:rPr/>
      </w:pPr>
      <w:r>
        <w:rPr/>
        <w:t>2.1 Risk Appetite Principles</w:t>
      </w:r>
    </w:p>
    <w:p>
      <w:pPr>
        <w:pStyle w:val="ListBullet"/>
        <w:numPr>
          <w:ilvl w:val="0"/>
          <w:numId w:val="1"/>
        </w:numPr>
        <w:rPr/>
      </w:pPr>
      <w:r>
        <w:rPr/>
        <w:t>Protection of customer personal and financial information is a high-priority security objective.</w:t>
      </w:r>
    </w:p>
    <w:p>
      <w:pPr>
        <w:pStyle w:val="ListBullet"/>
        <w:numPr>
          <w:ilvl w:val="0"/>
          <w:numId w:val="1"/>
        </w:numPr>
        <w:rPr/>
      </w:pPr>
      <w:r>
        <w:rPr/>
        <w:t>Risks that could materially disrupt critical digital banking services require prompt treatment and management oversight.</w:t>
      </w:r>
    </w:p>
    <w:p>
      <w:pPr>
        <w:pStyle w:val="ListBullet"/>
        <w:numPr>
          <w:ilvl w:val="0"/>
          <w:numId w:val="1"/>
        </w:numPr>
        <w:rPr/>
      </w:pPr>
      <w:r>
        <w:rPr/>
        <w:t>Risks affecting regulatory obligations, including applicable SAMA and personal data protection requirements, are not accepted solely because treatment is inconvenient.</w:t>
      </w:r>
    </w:p>
    <w:p>
      <w:pPr>
        <w:pStyle w:val="ListBullet"/>
        <w:numPr>
          <w:ilvl w:val="0"/>
          <w:numId w:val="1"/>
        </w:numPr>
        <w:rPr/>
      </w:pPr>
      <w:r>
        <w:rPr/>
        <w:t>Privileged access, application vulnerabilities, supplier dependencies and information security weaknesses are assessed according to their potential business and information security impact.</w:t>
      </w:r>
    </w:p>
    <w:p>
      <w:pPr>
        <w:pStyle w:val="ListBullet"/>
        <w:numPr>
          <w:ilvl w:val="0"/>
          <w:numId w:val="1"/>
        </w:numPr>
        <w:rPr/>
      </w:pPr>
      <w:r>
        <w:rPr/>
        <w:t>Risk acceptance must be evidence-based, documented and consistent with the approved risk level.</w:t>
      </w:r>
    </w:p>
    <w:p>
      <w:pPr>
        <w:pStyle w:val="Heading1"/>
        <w:rPr/>
      </w:pPr>
      <w:r>
        <w:rPr/>
        <w:t>3. Risk Acceptance</w:t>
      </w:r>
    </w:p>
    <w:p>
      <w:pPr>
        <w:pStyle w:val="Normal"/>
        <w:rPr/>
      </w:pPr>
      <w:r>
        <w:rPr/>
        <w:t>Risk acceptance is permitted only when the assessed risk is within the applicable approval authority and the decision is supported by a clear business justification. Acceptance does not remove the requirement to monitor the risk or reassess it when relevant circumstances change.</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60"/>
        <w:gridCol w:w="3360"/>
        <w:gridCol w:w="3360"/>
      </w:tblGrid>
      <w:tr>
        <w:trPr>
          <w:tblHeader w:val="true"/>
        </w:trPr>
        <w:tc>
          <w:tcPr>
            <w:tcW w:w="3360" w:type="dxa"/>
            <w:tcBorders/>
            <w:shd w:fill="1F4E7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Risk Level</w:t>
            </w:r>
          </w:p>
        </w:tc>
        <w:tc>
          <w:tcPr>
            <w:tcW w:w="3360" w:type="dxa"/>
            <w:tcBorders/>
            <w:shd w:fill="1F4E7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Acceptance Authority</w:t>
            </w:r>
          </w:p>
        </w:tc>
        <w:tc>
          <w:tcPr>
            <w:tcW w:w="3360" w:type="dxa"/>
            <w:tcBorders/>
            <w:shd w:fill="1F4E7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Required Decision Record</w:t>
            </w:r>
          </w:p>
        </w:tc>
      </w:tr>
      <w:tr>
        <w:trPr/>
        <w:tc>
          <w:tcPr>
            <w:tcW w:w="3360" w:type="dxa"/>
            <w:tcBorders/>
            <w:shd w:fill="F3F6F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Low</w:t>
            </w:r>
          </w:p>
        </w:tc>
        <w:tc>
          <w:tcPr>
            <w:tcW w:w="3360" w:type="dxa"/>
            <w:tcBorders/>
            <w:shd w:fill="F3F6F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Risk Owner / Department Lead</w:t>
            </w:r>
          </w:p>
        </w:tc>
        <w:tc>
          <w:tcPr>
            <w:tcW w:w="3360" w:type="dxa"/>
            <w:tcBorders/>
            <w:shd w:fill="F3F6F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Document the rationale in the Risk Log and continue monitoring.</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Medium</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Manager / Department Lead</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Document the business justification, treatment position and monitoring arrangements. Escalate where the risk approaches the High threshold.</w:t>
            </w:r>
          </w:p>
        </w:tc>
      </w:tr>
      <w:tr>
        <w:trPr/>
        <w:tc>
          <w:tcPr>
            <w:tcW w:w="3360" w:type="dxa"/>
            <w:tcBorders/>
            <w:shd w:fill="F3F6F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High</w:t>
            </w:r>
          </w:p>
        </w:tc>
        <w:tc>
          <w:tcPr>
            <w:tcW w:w="3360" w:type="dxa"/>
            <w:tcBorders/>
            <w:shd w:fill="F3F6F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Senior Management with Information Security Governance oversight</w:t>
            </w:r>
          </w:p>
        </w:tc>
        <w:tc>
          <w:tcPr>
            <w:tcW w:w="3360" w:type="dxa"/>
            <w:tcBorders/>
            <w:shd w:fill="F3F6F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A formal treatment plan is required. Acceptance without adequate treatment requires explicit governance consideration.</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Critical</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Executive Management</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Cannot be accepted as a routine decision. Immediate treatment or transfer and formal executive sign-off are required.</w:t>
            </w:r>
          </w:p>
        </w:tc>
      </w:tr>
    </w:tbl>
    <w:p>
      <w:pPr>
        <w:pStyle w:val="Normal"/>
        <w:spacing w:before="0" w:after="20"/>
        <w:rPr/>
      </w:pPr>
      <w:r>
        <w:rPr/>
      </w:r>
    </w:p>
    <w:p>
      <w:pPr>
        <w:pStyle w:val="Heading2"/>
        <w:rPr/>
      </w:pPr>
      <w:r>
        <w:rPr/>
        <w:t>3.1 Escalation of Unresolved Risks</w:t>
      </w:r>
    </w:p>
    <w:p>
      <w:pPr>
        <w:pStyle w:val="Normal"/>
        <w:rPr/>
      </w:pPr>
      <w:r>
        <w:rPr/>
        <w:t>Any risk that cannot be reduced below the High level within 90 days is escalated to Information Security Governance for an acceptance or further treatment decision. Risks that remain Critical require immediate executive-level attention.</w:t>
      </w:r>
    </w:p>
    <w:p>
      <w:pPr>
        <w:pStyle w:val="Heading2"/>
        <w:rPr/>
      </w:pPr>
      <w:r>
        <w:rPr/>
        <w:t>3.2 Requirements for Risk Acceptance</w:t>
      </w:r>
    </w:p>
    <w:p>
      <w:pPr>
        <w:pStyle w:val="ListBullet"/>
        <w:numPr>
          <w:ilvl w:val="0"/>
          <w:numId w:val="1"/>
        </w:numPr>
        <w:rPr/>
      </w:pPr>
      <w:r>
        <w:rPr/>
        <w:t>The decision is made by an authority appropriate to the assessed risk level.</w:t>
      </w:r>
    </w:p>
    <w:p>
      <w:pPr>
        <w:pStyle w:val="ListBullet"/>
        <w:numPr>
          <w:ilvl w:val="0"/>
          <w:numId w:val="1"/>
        </w:numPr>
        <w:rPr/>
      </w:pPr>
      <w:r>
        <w:rPr/>
        <w:t>The decision is documented in writing in the Risk Log.</w:t>
      </w:r>
    </w:p>
    <w:p>
      <w:pPr>
        <w:pStyle w:val="ListBullet"/>
        <w:numPr>
          <w:ilvl w:val="0"/>
          <w:numId w:val="1"/>
        </w:numPr>
        <w:rPr/>
      </w:pPr>
      <w:r>
        <w:rPr/>
        <w:t>The business justification clearly explains why the remaining risk is acceptable.</w:t>
      </w:r>
    </w:p>
    <w:p>
      <w:pPr>
        <w:pStyle w:val="ListBullet"/>
        <w:numPr>
          <w:ilvl w:val="0"/>
          <w:numId w:val="1"/>
        </w:numPr>
        <w:rPr/>
      </w:pPr>
      <w:r>
        <w:rPr/>
        <w:t>Compensating controls are identified where applicable.</w:t>
      </w:r>
    </w:p>
    <w:p>
      <w:pPr>
        <w:pStyle w:val="ListBullet"/>
        <w:numPr>
          <w:ilvl w:val="0"/>
          <w:numId w:val="1"/>
        </w:numPr>
        <w:rPr/>
      </w:pPr>
      <w:r>
        <w:rPr/>
        <w:t>The decision is reviewed at least annually and whenever the risk context changes.</w:t>
      </w:r>
    </w:p>
    <w:p>
      <w:pPr>
        <w:pStyle w:val="Heading1"/>
        <w:rPr/>
      </w:pPr>
      <w:r>
        <w:rPr/>
        <w:t>4. Risk Appetite Review</w:t>
      </w:r>
    </w:p>
    <w:p>
      <w:pPr>
        <w:pStyle w:val="Normal"/>
        <w:rPr/>
      </w:pPr>
      <w:r>
        <w:rPr/>
        <w:t>This statement is reviewed annually as part of the ISMS and management review process. An earlier review is required when significant changes occur in the bank's organisational context, regulatory environment, services, technology, suppliers, threat landscape or risk profile.</w:t>
      </w:r>
    </w:p>
    <w:p>
      <w:pPr>
        <w:pStyle w:val="Normal"/>
        <w:rPr/>
      </w:pPr>
      <w:r>
        <w:rPr/>
        <w:t>The review considers the effectiveness of previous risk decisions, material security incidents, vulnerability findings, changes to digital banking services, supplier and cloud dependencies, and relevant developments affecting the bank's information security obligations.</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blHeader w:val="true"/>
        </w:trPr>
        <w:tc>
          <w:tcPr>
            <w:tcW w:w="5040" w:type="dxa"/>
            <w:tcBorders/>
            <w:shd w:fill="1F4E7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Review Trigger</w:t>
            </w:r>
          </w:p>
        </w:tc>
        <w:tc>
          <w:tcPr>
            <w:tcW w:w="5039" w:type="dxa"/>
            <w:tcBorders/>
            <w:shd w:fill="1F4E7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Review Focus</w:t>
            </w:r>
          </w:p>
        </w:tc>
      </w:tr>
      <w:tr>
        <w:trPr/>
        <w:tc>
          <w:tcPr>
            <w:tcW w:w="5040" w:type="dxa"/>
            <w:tcBorders/>
            <w:shd w:fill="F3F6F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Annual management review</w:t>
            </w:r>
          </w:p>
        </w:tc>
        <w:tc>
          <w:tcPr>
            <w:tcW w:w="5039" w:type="dxa"/>
            <w:tcBorders/>
            <w:shd w:fill="F3F6F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Confirm that risk thresholds remain appropriate to the bank's strategy and current risk profile.</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Significant security incident</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Determine whether the incident indicates that risk appetite or acceptance criteria should change.</w:t>
            </w:r>
          </w:p>
        </w:tc>
      </w:tr>
      <w:tr>
        <w:trPr/>
        <w:tc>
          <w:tcPr>
            <w:tcW w:w="5040" w:type="dxa"/>
            <w:tcBorders/>
            <w:shd w:fill="F3F6F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Major regulatory or legal change</w:t>
            </w:r>
          </w:p>
        </w:tc>
        <w:tc>
          <w:tcPr>
            <w:tcW w:w="5039" w:type="dxa"/>
            <w:tcBorders/>
            <w:shd w:fill="F3F6F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Assess whether thresholds remain consistent with applicable obligations.</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Major technology or service change</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Reassess risks associated with critical applications, infrastructure and digital banking services.</w:t>
            </w:r>
          </w:p>
        </w:tc>
      </w:tr>
      <w:tr>
        <w:trPr/>
        <w:tc>
          <w:tcPr>
            <w:tcW w:w="5040" w:type="dxa"/>
            <w:tcBorders/>
            <w:shd w:fill="F3F6F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Material supplier or cloud change</w:t>
            </w:r>
          </w:p>
        </w:tc>
        <w:tc>
          <w:tcPr>
            <w:tcW w:w="5039" w:type="dxa"/>
            <w:tcBorders/>
            <w:shd w:fill="F3F6F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Review exposure arising from third-party and cloud service dependencies.</w:t>
            </w:r>
          </w:p>
        </w:tc>
      </w:tr>
    </w:tbl>
    <w:p>
      <w:pPr>
        <w:pStyle w:val="Normal"/>
        <w:spacing w:before="0" w:after="20"/>
        <w:rPr/>
      </w:pPr>
      <w:r>
        <w:rPr/>
      </w:r>
    </w:p>
    <w:p>
      <w:pPr>
        <w:pStyle w:val="Heading1"/>
        <w:rPr/>
      </w:pPr>
      <w:r>
        <w:rPr/>
        <w:t>Approval and Signature</w:t>
      </w:r>
    </w:p>
    <w:p>
      <w:pPr>
        <w:pStyle w:val="Normal"/>
        <w:rPr/>
      </w:pPr>
      <w:r>
        <w:rPr/>
        <w:t>This statement is approved by senior management and becomes part of the controlled ISMS documentation set.</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blHeader w:val="true"/>
        </w:trPr>
        <w:tc>
          <w:tcPr>
            <w:tcW w:w="5040" w:type="dxa"/>
            <w:tcBorders/>
            <w:shd w:fill="1F4E7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Approval Item</w:t>
            </w:r>
          </w:p>
        </w:tc>
        <w:tc>
          <w:tcPr>
            <w:tcW w:w="5039" w:type="dxa"/>
            <w:tcBorders/>
            <w:shd w:fill="1F4E7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Approved Information</w:t>
            </w:r>
          </w:p>
        </w:tc>
      </w:tr>
      <w:tr>
        <w:trPr/>
        <w:tc>
          <w:tcPr>
            <w:tcW w:w="5040" w:type="dxa"/>
            <w:tcBorders/>
            <w:shd w:fill="F3F6F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Approved By</w:t>
            </w:r>
          </w:p>
        </w:tc>
        <w:tc>
          <w:tcPr>
            <w:tcW w:w="5039" w:type="dxa"/>
            <w:tcBorders/>
            <w:shd w:fill="F3F6F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Dr. Noura Al-Qahtani</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Role</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Chief Executive Officer</w:t>
            </w:r>
          </w:p>
        </w:tc>
      </w:tr>
      <w:tr>
        <w:trPr/>
        <w:tc>
          <w:tcPr>
            <w:tcW w:w="5040" w:type="dxa"/>
            <w:tcBorders/>
            <w:shd w:fill="F3F6F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Date</w:t>
            </w:r>
          </w:p>
        </w:tc>
        <w:tc>
          <w:tcPr>
            <w:tcW w:w="5039" w:type="dxa"/>
            <w:tcBorders/>
            <w:shd w:fill="F3F6F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13 September 2026</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Document Author</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Shiban Mohammed Ali Hussein Shiban</w:t>
            </w:r>
          </w:p>
        </w:tc>
      </w:tr>
      <w:tr>
        <w:trPr/>
        <w:tc>
          <w:tcPr>
            <w:tcW w:w="5040" w:type="dxa"/>
            <w:tcBorders/>
            <w:shd w:fill="F3F6F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Document Owner</w:t>
            </w:r>
          </w:p>
        </w:tc>
        <w:tc>
          <w:tcPr>
            <w:tcW w:w="5039" w:type="dxa"/>
            <w:tcBorders/>
            <w:shd w:fill="F3F6F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Information Security Management</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Classification</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Internal</w:t>
            </w:r>
          </w:p>
        </w:tc>
      </w:tr>
    </w:tbl>
    <w:p>
      <w:pPr>
        <w:pStyle w:val="Normal"/>
        <w:spacing w:before="0" w:after="2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2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ptos Display">
    <w:charset w:val="01"/>
    <w:family w:val="roman"/>
    <w:pitch w:val="variable"/>
  </w:font>
  <w:font w:name="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B7280"/>
        <w:sz w:val="16"/>
      </w:rPr>
      <w:t>Internal  |  Version 1.0</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B7280"/>
        <w:sz w:val="16"/>
      </w:rPr>
      <w:t>Internal  |  Version 1.0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6B7280"/>
        <w:sz w:val="16"/>
      </w:rPr>
      <w:t>Al-Afaq Digital Bank  |  Information Security Risk Appetite Statement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6B7280"/>
        <w:sz w:val="16"/>
      </w:rPr>
      <w:t>Al-Afaq Digital Bank  |  Information Security Risk Appetite Statement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7"/>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00"/>
      <w:jc w:val="lef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7365D"/>
      <w:sz w:val="3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F4E79"/>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7365D"/>
      <w:spacing w:val="5"/>
      <w:kern w:val="2"/>
      <w:sz w:val="5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LibreOffice/24.2.7.2$Linux_X86_64 LibreOffice_project/420$Build-2</Application>
  <AppVersion>15.0000</AppVersion>
  <Pages>5</Pages>
  <Words>922</Words>
  <Characters>5797</Characters>
  <CharactersWithSpaces>6595</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Shiban Mohammed Ali Hussein Shiban</dc:creator>
  <dc:description>generated by python-docx</dc:description>
  <cp:keywords>ISO 27001 ISMS Risk Appetite Risk Acceptance Al-Afaq Digital Bank</cp:keywords>
  <dc:language>en-US</dc:language>
  <cp:lastModifiedBy/>
  <dcterms:modified xsi:type="dcterms:W3CDTF">2026-09-13T03:23:10Z</dcterms:modified>
  <cp:revision>2</cp:revision>
  <dc:subject>ISO/IEC 27001 Information Security Risk Appetite</dc:subject>
  <dc:title>Al-Afaq Digital Bank - Information Security Risk Appetite Statement</dc:title>
</cp:coreProperties>
</file>

<file path=docProps/custom.xml><?xml version="1.0" encoding="utf-8"?>
<Properties xmlns="http://schemas.openxmlformats.org/officeDocument/2006/custom-properties" xmlns:vt="http://schemas.openxmlformats.org/officeDocument/2006/docPropsVTypes"/>
</file>