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240"/>
        <w:jc w:val="center"/>
        <w:rPr/>
      </w:pPr>
      <w:r>
        <w:rPr>
          <w:b/>
          <w:sz w:val="52"/>
        </w:rPr>
        <w:t>Al-Afaq Digital Bank</w:t>
      </w:r>
    </w:p>
    <w:p>
      <w:pPr>
        <w:pStyle w:val="Normal"/>
        <w:jc w:val="center"/>
        <w:rPr/>
      </w:pPr>
      <w:r>
        <w:rPr>
          <w:b/>
          <w:sz w:val="44"/>
        </w:rPr>
        <w:t>Information Security Risk Assessment Report</w:t>
      </w:r>
    </w:p>
    <w:p>
      <w:pPr>
        <w:pStyle w:val="Normal"/>
        <w:jc w:val="center"/>
        <w:rPr/>
      </w:pPr>
      <w:r>
        <w:rPr>
          <w:sz w:val="26"/>
        </w:rPr>
        <w:t>ISO/IEC 27001:2022 Information Security Management System</w:t>
      </w:r>
    </w:p>
    <w:p>
      <w:pPr>
        <w:pStyle w:val="Normal"/>
        <w:rPr/>
      </w:pPr>
      <w:r>
        <w:rPr/>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Classification</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Internal</w:t>
            </w:r>
          </w:p>
        </w:tc>
      </w:tr>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Reference</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ISMS-DOC-06-3</w:t>
            </w:r>
          </w:p>
        </w:tc>
      </w:tr>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Version</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w:t>
            </w:r>
          </w:p>
        </w:tc>
      </w:tr>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Date</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12 September 2026</w:t>
            </w:r>
          </w:p>
        </w:tc>
      </w:tr>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Author</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Shiban ,Eyad , Rayan , Bashar and Alshreef</w:t>
            </w:r>
          </w:p>
        </w:tc>
      </w:tr>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Owner</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Information Security Officer (CISO)</w:t>
            </w:r>
          </w:p>
        </w:tc>
      </w:tr>
    </w:tbl>
    <w:p>
      <w:pPr>
        <w:pStyle w:val="Normal"/>
        <w:rPr/>
      </w:pPr>
      <w:r>
        <w:rPr/>
      </w:r>
      <w:r>
        <w:br w:type="page"/>
      </w:r>
    </w:p>
    <w:p>
      <w:pPr>
        <w:pStyle w:val="Normal"/>
        <w:spacing w:before="0" w:after="100"/>
        <w:jc w:val="left"/>
        <w:rPr/>
      </w:pPr>
      <w:r>
        <w:rPr>
          <w:b/>
          <w:sz w:val="26"/>
        </w:rPr>
        <w:t>Revision history</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c>
          <w:tcPr>
            <w:tcW w:w="243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VERSION</w:t>
            </w:r>
          </w:p>
        </w:tc>
        <w:tc>
          <w:tcPr>
            <w:tcW w:w="243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DATE</w:t>
            </w:r>
          </w:p>
        </w:tc>
        <w:tc>
          <w:tcPr>
            <w:tcW w:w="243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REVISION AUTHOR</w:t>
            </w:r>
          </w:p>
        </w:tc>
        <w:tc>
          <w:tcPr>
            <w:tcW w:w="2435"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SUMMARY OF CHANGES</w:t>
            </w:r>
          </w:p>
        </w:tc>
      </w:tr>
      <w:tr>
        <w:trPr/>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1</w:t>
            </w:r>
          </w:p>
        </w:tc>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12 September 2026</w:t>
            </w:r>
          </w:p>
        </w:tc>
        <w:tc>
          <w:tcPr>
            <w:tcW w:w="2436"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ascii="Arial" w:hAnsi="Arial"/>
                <w:b w:val="false"/>
                <w:color w:val="444444"/>
                <w:kern w:val="0"/>
                <w:sz w:val="18"/>
                <w:szCs w:val="24"/>
                <w:lang w:val="en-GB" w:eastAsia="en-US" w:bidi="ar-SA"/>
              </w:rPr>
              <w:t xml:space="preserve">Shiban , </w:t>
            </w:r>
            <w:r>
              <w:rPr>
                <w:rFonts w:eastAsia="Times New Roman" w:cs="Times New Roman" w:ascii="Arial" w:hAnsi="Arial"/>
                <w:b w:val="false"/>
                <w:color w:val="444444"/>
                <w:kern w:val="0"/>
                <w:sz w:val="18"/>
                <w:szCs w:val="24"/>
                <w:lang w:val="en-GB" w:eastAsia="en-US" w:bidi="ar-SA"/>
              </w:rPr>
              <w:t>Eyad , Rayan ,Bashar and Alshreef</w:t>
            </w:r>
          </w:p>
        </w:tc>
        <w:tc>
          <w:tcPr>
            <w:tcW w:w="243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Initial risk assessment report for the Al-Afaq Digital Bank ISMS.</w:t>
            </w:r>
          </w:p>
        </w:tc>
      </w:tr>
    </w:tbl>
    <w:p>
      <w:pPr>
        <w:pStyle w:val="Normal"/>
        <w:spacing w:before="200" w:after="100"/>
        <w:jc w:val="left"/>
        <w:rPr/>
      </w:pPr>
      <w:r>
        <w:rPr>
          <w:b/>
          <w:sz w:val="26"/>
        </w:rPr>
        <w:t>Distribution</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NAME</w:t>
            </w:r>
          </w:p>
        </w:tc>
        <w:tc>
          <w:tcPr>
            <w:tcW w:w="4872"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TITLE</w:t>
            </w:r>
          </w:p>
        </w:tc>
      </w:tr>
      <w:tr>
        <w:trPr/>
        <w:tc>
          <w:tcPr>
            <w:tcW w:w="4873"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Sarah Al-Harbi</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Information Security Officer (CISO)</w:t>
            </w:r>
          </w:p>
        </w:tc>
      </w:tr>
      <w:tr>
        <w:trPr/>
        <w:tc>
          <w:tcPr>
            <w:tcW w:w="4873"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Fahad Al-Otaibi</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Information Officer (CIO)</w:t>
            </w:r>
          </w:p>
        </w:tc>
      </w:tr>
      <w:tr>
        <w:trPr/>
        <w:tc>
          <w:tcPr>
            <w:tcW w:w="4873"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Internal Audit Department</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Internal Audit</w:t>
            </w:r>
          </w:p>
        </w:tc>
      </w:tr>
    </w:tbl>
    <w:p>
      <w:pPr>
        <w:pStyle w:val="Normal"/>
        <w:spacing w:before="200" w:after="100"/>
        <w:jc w:val="left"/>
        <w:rPr/>
      </w:pPr>
      <w:r>
        <w:rPr>
          <w:b/>
          <w:sz w:val="26"/>
        </w:rPr>
        <w:t>Approval</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c>
          <w:tcPr>
            <w:tcW w:w="243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NAME</w:t>
            </w:r>
          </w:p>
        </w:tc>
        <w:tc>
          <w:tcPr>
            <w:tcW w:w="243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POSITION</w:t>
            </w:r>
          </w:p>
        </w:tc>
        <w:tc>
          <w:tcPr>
            <w:tcW w:w="243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SIGNATURE</w:t>
            </w:r>
          </w:p>
        </w:tc>
        <w:tc>
          <w:tcPr>
            <w:tcW w:w="2435"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DATE</w:t>
            </w:r>
          </w:p>
        </w:tc>
      </w:tr>
      <w:tr>
        <w:trPr/>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Sarah Al-Harbi</w:t>
            </w:r>
          </w:p>
        </w:tc>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Chief Information Security Officer (CISO)</w:t>
            </w:r>
          </w:p>
        </w:tc>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Pending approval</w:t>
            </w:r>
          </w:p>
        </w:tc>
        <w:tc>
          <w:tcPr>
            <w:tcW w:w="243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12 September 2026</w:t>
            </w:r>
          </w:p>
        </w:tc>
      </w:tr>
      <w:tr>
        <w:trPr/>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Fahad Al-Otaibi</w:t>
            </w:r>
          </w:p>
        </w:tc>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Chief Information Officer (CIO)</w:t>
            </w:r>
          </w:p>
        </w:tc>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Pending approval</w:t>
            </w:r>
          </w:p>
        </w:tc>
        <w:tc>
          <w:tcPr>
            <w:tcW w:w="243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12 September 2026</w:t>
            </w:r>
          </w:p>
        </w:tc>
      </w:tr>
      <w:tr>
        <w:trPr/>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Executive Management</w:t>
            </w:r>
          </w:p>
        </w:tc>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Top Management</w:t>
            </w:r>
          </w:p>
        </w:tc>
        <w:tc>
          <w:tcPr>
            <w:tcW w:w="243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Pending approval</w:t>
            </w:r>
          </w:p>
        </w:tc>
        <w:tc>
          <w:tcPr>
            <w:tcW w:w="243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12 September 2026</w:t>
            </w:r>
          </w:p>
        </w:tc>
      </w:tr>
    </w:tbl>
    <w:p>
      <w:pPr>
        <w:pStyle w:val="Normal"/>
        <w:rPr/>
      </w:pPr>
      <w:r>
        <w:rPr/>
      </w:r>
      <w:r>
        <w:br w:type="page"/>
      </w:r>
    </w:p>
    <w:p>
      <w:pPr>
        <w:pStyle w:val="Normal"/>
        <w:spacing w:before="0" w:after="100"/>
        <w:jc w:val="left"/>
        <w:rPr/>
      </w:pPr>
      <w:r>
        <w:rPr>
          <w:b/>
          <w:sz w:val="30"/>
        </w:rPr>
        <w:t>Contents</w:t>
      </w:r>
    </w:p>
    <w:p>
      <w:pPr>
        <w:pStyle w:val="Normal"/>
        <w:spacing w:before="200" w:after="100"/>
        <w:jc w:val="left"/>
        <w:rPr/>
      </w:pPr>
      <w:r>
        <w:rPr>
          <w:b/>
          <w:sz w:val="30"/>
        </w:rPr>
        <w:t>1 Introduction</w:t>
      </w:r>
    </w:p>
    <w:p>
      <w:pPr>
        <w:pStyle w:val="Normal"/>
        <w:spacing w:before="200" w:after="100"/>
        <w:jc w:val="left"/>
        <w:rPr/>
      </w:pPr>
      <w:r>
        <w:rPr>
          <w:b/>
          <w:sz w:val="30"/>
        </w:rPr>
        <w:t>2 Risk assessment context</w:t>
      </w:r>
    </w:p>
    <w:p>
      <w:pPr>
        <w:pStyle w:val="Normal"/>
        <w:spacing w:before="200" w:after="100"/>
        <w:jc w:val="left"/>
        <w:rPr/>
      </w:pPr>
      <w:r>
        <w:rPr>
          <w:b/>
          <w:sz w:val="30"/>
        </w:rPr>
        <w:t>2.1 Internal and external context</w:t>
      </w:r>
    </w:p>
    <w:p>
      <w:pPr>
        <w:pStyle w:val="Normal"/>
        <w:spacing w:before="200" w:after="100"/>
        <w:jc w:val="left"/>
        <w:rPr/>
      </w:pPr>
      <w:r>
        <w:rPr>
          <w:b/>
          <w:sz w:val="30"/>
        </w:rPr>
        <w:t>2.2 Scope</w:t>
      </w:r>
    </w:p>
    <w:p>
      <w:pPr>
        <w:pStyle w:val="Normal"/>
        <w:spacing w:before="200" w:after="100"/>
        <w:jc w:val="left"/>
        <w:rPr/>
      </w:pPr>
      <w:r>
        <w:rPr>
          <w:b/>
          <w:sz w:val="30"/>
        </w:rPr>
        <w:t>2.3 Risk acceptance criteria</w:t>
      </w:r>
    </w:p>
    <w:p>
      <w:pPr>
        <w:pStyle w:val="Normal"/>
        <w:spacing w:before="200" w:after="100"/>
        <w:jc w:val="left"/>
        <w:rPr/>
      </w:pPr>
      <w:r>
        <w:rPr>
          <w:b/>
          <w:sz w:val="30"/>
        </w:rPr>
        <w:t>3 Risk assessment results summary</w:t>
      </w:r>
    </w:p>
    <w:p>
      <w:pPr>
        <w:pStyle w:val="Normal"/>
        <w:spacing w:before="200" w:after="100"/>
        <w:jc w:val="left"/>
        <w:rPr/>
      </w:pPr>
      <w:r>
        <w:rPr>
          <w:b/>
          <w:sz w:val="30"/>
        </w:rPr>
        <w:t>3.1 Asset-based risk assessment</w:t>
      </w:r>
    </w:p>
    <w:p>
      <w:pPr>
        <w:pStyle w:val="Normal"/>
        <w:spacing w:before="200" w:after="100"/>
        <w:jc w:val="left"/>
        <w:rPr/>
      </w:pPr>
      <w:r>
        <w:rPr>
          <w:b/>
          <w:sz w:val="30"/>
        </w:rPr>
        <w:t>3.2 Scenario-based risk assessment</w:t>
      </w:r>
    </w:p>
    <w:p>
      <w:pPr>
        <w:pStyle w:val="Normal"/>
        <w:spacing w:before="200" w:after="100"/>
        <w:jc w:val="left"/>
        <w:rPr/>
      </w:pPr>
      <w:r>
        <w:rPr>
          <w:b/>
          <w:sz w:val="30"/>
        </w:rPr>
        <w:t>4 Appendix A: Detailed risk assessment</w:t>
      </w:r>
    </w:p>
    <w:p>
      <w:pPr>
        <w:pStyle w:val="Normal"/>
        <w:rPr/>
      </w:pPr>
      <w:r>
        <w:rPr/>
      </w:r>
      <w:r>
        <w:br w:type="page"/>
      </w:r>
    </w:p>
    <w:p>
      <w:pPr>
        <w:pStyle w:val="Normal"/>
        <w:spacing w:before="0" w:after="100"/>
        <w:jc w:val="left"/>
        <w:rPr/>
      </w:pPr>
      <w:r>
        <w:rPr>
          <w:b/>
          <w:sz w:val="30"/>
        </w:rPr>
        <w:t>1 Introduction</w:t>
      </w:r>
    </w:p>
    <w:p>
      <w:pPr>
        <w:pStyle w:val="Normal"/>
        <w:spacing w:before="240" w:after="100"/>
        <w:rPr/>
      </w:pPr>
      <w:r>
        <w:rPr/>
        <w:t>This report presents the information security risk assessment for Al-Afaq Digital Bank. The assessment supports the implementation of the Information Security Management System (ISMS) in accordance with ISO/IEC 27001:2022 and focuses on the information, technology, people, services and operational conditions described in the bank case study.</w:t>
      </w:r>
    </w:p>
    <w:p>
      <w:pPr>
        <w:pStyle w:val="Normal"/>
        <w:spacing w:before="240" w:after="100"/>
        <w:rPr/>
      </w:pPr>
      <w:r>
        <w:rPr/>
        <w:t>The assessment considers the bank’s digital banking services, core banking environment, customer and employee information, financial transaction data, network and security infrastructure, development environments, and supporting services. It also considers the security weaknesses and previous incidents documented in the case study.</w:t>
      </w:r>
    </w:p>
    <w:p>
      <w:pPr>
        <w:pStyle w:val="Normal"/>
        <w:spacing w:before="240" w:after="100"/>
        <w:rPr/>
      </w:pPr>
      <w:r>
        <w:rPr/>
        <w:t>The assessment provides a basis for selecting risk treatment actions within the ISMS. The identified risks are linked to specific assets or realistic risk scenarios, with risk owners, risk levels, and treatment decisions recorded in this report.</w:t>
      </w:r>
    </w:p>
    <w:p>
      <w:pPr>
        <w:pStyle w:val="Normal"/>
        <w:spacing w:before="240" w:after="100"/>
        <w:rPr/>
      </w:pPr>
      <w:r>
        <w:rPr/>
        <w:t>The assessment was prepared by Shiban Mohammed Ali Hussein Shiban and is intended for review by the bank’s information security, technology, business, compliance and management functions.</w:t>
      </w:r>
    </w:p>
    <w:p>
      <w:pPr>
        <w:pStyle w:val="Normal"/>
        <w:spacing w:before="200" w:after="100"/>
        <w:jc w:val="left"/>
        <w:rPr/>
      </w:pPr>
      <w:r>
        <w:rPr>
          <w:b/>
          <w:sz w:val="26"/>
        </w:rPr>
        <w:t>Risk assessment team</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NAME</w:t>
            </w:r>
          </w:p>
        </w:tc>
        <w:tc>
          <w:tcPr>
            <w:tcW w:w="4872"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ROLE IN ASSESSMENT</w:t>
            </w:r>
          </w:p>
        </w:tc>
      </w:tr>
      <w:tr>
        <w:trPr/>
        <w:tc>
          <w:tcPr>
            <w:tcW w:w="4873"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Shiban Mohammed Ali Hussein Shiban</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Lead Risk Assessor</w:t>
            </w:r>
          </w:p>
        </w:tc>
      </w:tr>
      <w:tr>
        <w:trPr/>
        <w:tc>
          <w:tcPr>
            <w:tcW w:w="4873"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Sarah Al-Harbi</w:t>
            </w:r>
          </w:p>
        </w:tc>
        <w:tc>
          <w:tcPr>
            <w:tcW w:w="4872"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Information Security and Risk Review</w:t>
            </w:r>
          </w:p>
        </w:tc>
      </w:tr>
    </w:tbl>
    <w:p>
      <w:pPr>
        <w:pStyle w:val="Normal"/>
        <w:spacing w:before="240" w:after="100"/>
        <w:rPr/>
      </w:pPr>
      <w:r>
        <w:rPr/>
        <w:t>The following internal stakeholders were considered during the assessment because their responsibilities or information assets are directly relevant to the identified risks.</w:t>
      </w:r>
    </w:p>
    <w:p>
      <w:pPr>
        <w:pStyle w:val="Normal"/>
        <w:spacing w:before="200" w:after="100"/>
        <w:jc w:val="left"/>
        <w:rPr/>
      </w:pPr>
      <w:r>
        <w:rPr>
          <w:b/>
          <w:sz w:val="26"/>
        </w:rPr>
        <w:t>People consulted</w:t>
      </w:r>
    </w:p>
    <w:tbl>
      <w:tblPr>
        <w:tblStyle w:val="TableGrid"/>
        <w:tblW w:w="974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c>
          <w:tcPr>
            <w:tcW w:w="3249"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NAME</w:t>
            </w:r>
          </w:p>
        </w:tc>
        <w:tc>
          <w:tcPr>
            <w:tcW w:w="3249"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TITLE</w:t>
            </w:r>
          </w:p>
        </w:tc>
        <w:tc>
          <w:tcPr>
            <w:tcW w:w="3249"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LOCATION</w:t>
            </w:r>
          </w:p>
        </w:tc>
      </w:tr>
      <w:tr>
        <w:trPr/>
        <w:tc>
          <w:tcPr>
            <w:tcW w:w="324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Fahad Al-Otaibi</w:t>
            </w:r>
          </w:p>
        </w:tc>
        <w:tc>
          <w:tcPr>
            <w:tcW w:w="324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Chief Information Officer (CIO)</w:t>
            </w:r>
          </w:p>
        </w:tc>
        <w:tc>
          <w:tcPr>
            <w:tcW w:w="324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Riyadh, Saudi Arabia</w:t>
            </w:r>
          </w:p>
        </w:tc>
      </w:tr>
      <w:tr>
        <w:trPr/>
        <w:tc>
          <w:tcPr>
            <w:tcW w:w="324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Khalid Al-Shammari</w:t>
            </w:r>
          </w:p>
        </w:tc>
        <w:tc>
          <w:tcPr>
            <w:tcW w:w="324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Human Resources Manager</w:t>
            </w:r>
          </w:p>
        </w:tc>
        <w:tc>
          <w:tcPr>
            <w:tcW w:w="324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7"/>
                <w:szCs w:val="24"/>
                <w:lang w:val="en-GB" w:eastAsia="en-US" w:bidi="ar-SA"/>
              </w:rPr>
              <w:t>Riyadh, Saudi Arabia</w:t>
            </w:r>
          </w:p>
        </w:tc>
      </w:tr>
    </w:tbl>
    <w:p>
      <w:pPr>
        <w:pStyle w:val="Normal"/>
        <w:spacing w:before="200" w:after="100"/>
        <w:jc w:val="left"/>
        <w:rPr/>
      </w:pPr>
      <w:r>
        <w:rPr>
          <w:b/>
          <w:sz w:val="30"/>
        </w:rPr>
        <w:t>2 Risk assessment context</w:t>
      </w:r>
    </w:p>
    <w:p>
      <w:pPr>
        <w:pStyle w:val="Normal"/>
        <w:spacing w:before="240" w:after="100"/>
        <w:rPr/>
      </w:pPr>
      <w:r>
        <w:rPr/>
        <w:t>The risk assessment was conducted to establish a structured view of the information security risks affecting Al-Afaq Digital Bank and to support risk treatment under the ISMS. The case study identifies significant digital banking dependencies, valuable customer and financial information, regulatory obligations, previous security incidents, unresolved vulnerabilities and weaknesses in access management, monitoring, change control and security awareness.</w:t>
      </w:r>
    </w:p>
    <w:p>
      <w:pPr>
        <w:pStyle w:val="Normal"/>
        <w:spacing w:before="200" w:after="100"/>
        <w:jc w:val="left"/>
        <w:rPr/>
      </w:pPr>
      <w:r>
        <w:rPr>
          <w:b/>
          <w:sz w:val="30"/>
        </w:rPr>
        <w:t>2.1 Internal and external context</w:t>
      </w:r>
    </w:p>
    <w:p>
      <w:pPr>
        <w:pStyle w:val="Normal"/>
        <w:spacing w:before="240" w:after="100"/>
        <w:rPr/>
      </w:pPr>
      <w:r>
        <w:rPr/>
        <w:t>The bank operates in Saudi Arabia under the supervision of the Saudi Central Bank (SAMA) and is subject to information security and customer data protection requirements. The case study identifies SAMA requirements including a comprehensive cybersecurity framework, prompt reporting of major security incidents, regular cybersecurity risk assessments, customer data protection, periodic penetration testing, and an approved business continuity and disaster recovery plan.</w:t>
      </w:r>
    </w:p>
    <w:p>
      <w:pPr>
        <w:pStyle w:val="Normal"/>
        <w:spacing w:before="240" w:after="100"/>
        <w:rPr/>
      </w:pPr>
      <w:r>
        <w:rPr/>
        <w:t>The bank also operates in a rapidly digitising environment in which customers expect secure and continuously available digital banking services. The bank’s reliance on financial technology increases its attack surface. The case study identifies ransomware, advanced phishing, distributed denial-of-service attacks, supply-chain attacks, insider threats, and exploitation of vulnerabilities in mobile and online banking applications as relevant threats.</w:t>
      </w:r>
    </w:p>
    <w:p>
      <w:pPr>
        <w:pStyle w:val="Normal"/>
        <w:spacing w:before="240" w:after="100"/>
        <w:rPr/>
      </w:pPr>
      <w:r>
        <w:rPr/>
        <w:t>Internally, the bank has established security capabilities including a CISO, CIO, Security Operations Center, information security governance team, incident response team, risk and vulnerability assessment team, network and database management teams, and a software development team. Existing controls include Palo Alto firewalls, FortiWeb, IDS/IPS, Trend Micro, Cisco secure email, Qualys, Microsoft Active Directory, RSA SecurID, Syslog, fraud detection, Enterprise GitLab and Jira Service Management.</w:t>
      </w:r>
    </w:p>
    <w:p>
      <w:pPr>
        <w:pStyle w:val="Normal"/>
        <w:spacing w:before="240" w:after="100"/>
        <w:rPr/>
      </w:pPr>
      <w:r>
        <w:rPr/>
        <w:t>The case study also identifies weaknesses that materially affect risk: manual privileged password management, manual log analysis, incomplete security awareness, unresolved vulnerabilities, excessive access privileges, lack of periodic access review, the use of real data in testing environments, and the absence of systematic threat intelligence collection and analysis.</w:t>
      </w:r>
    </w:p>
    <w:p>
      <w:pPr>
        <w:pStyle w:val="Normal"/>
        <w:spacing w:before="240" w:after="100"/>
        <w:rPr/>
      </w:pPr>
      <w:r>
        <w:rPr/>
        <w:t>External requirements and stakeholder expectations include SAMA cybersecurity requirements, Saudi Data and Artificial Intelligence Authority (SDAIA) requirements under the Personal Data Protection Law, National Cybersecurity Authority guidance, international financial and correspondent banking expectations, and requirements from technology and service providers.</w:t>
      </w:r>
    </w:p>
    <w:p>
      <w:pPr>
        <w:pStyle w:val="Normal"/>
        <w:spacing w:before="200" w:after="100"/>
        <w:jc w:val="left"/>
        <w:rPr/>
      </w:pPr>
      <w:r>
        <w:rPr>
          <w:b/>
          <w:sz w:val="30"/>
        </w:rPr>
        <w:t>2.2 Scope</w:t>
      </w:r>
    </w:p>
    <w:p>
      <w:pPr>
        <w:pStyle w:val="Normal"/>
        <w:spacing w:before="240" w:after="100"/>
        <w:rPr/>
      </w:pPr>
      <w:r>
        <w:rPr/>
        <w:t>The assessment covers information security risks associated with Al-Afaq Digital Bank’s critical business and technology environment in Saudi Arabia, including the headquarters and primary data centre in Riyadh, the disaster recovery site in Jeddah, digital banking services, core banking and payment systems, customer and employee information, financial transaction information, network and security infrastructure, development and testing environments, end-user devices, and relevant third-party services.</w:t>
      </w:r>
    </w:p>
    <w:p>
      <w:pPr>
        <w:pStyle w:val="Normal"/>
        <w:spacing w:before="240" w:after="100"/>
        <w:rPr/>
      </w:pPr>
      <w:r>
        <w:rPr/>
        <w:t>The assessment includes Afaq Plus mobile banking, Afaq Net online banking, the Core Banking System, Card Management System, Instant Payments System, Oracle customer and financial transaction databases, SQL human resources database, data warehouse, security and network systems, Enterprise GitLab, development and testing environments, and associated operational and support services.</w:t>
      </w:r>
    </w:p>
    <w:p>
      <w:pPr>
        <w:pStyle w:val="Normal"/>
        <w:spacing w:before="240" w:after="100"/>
        <w:rPr/>
      </w:pPr>
      <w:r>
        <w:rPr/>
        <w:t>The assessment also considers relevant external services and suppliers, including AWS for some non-critical systems, the external vulnerability assessment consultant, the mobile application development company, the internet service provider, ATM maintenance provider, and cash and security services.</w:t>
      </w:r>
    </w:p>
    <w:p>
      <w:pPr>
        <w:pStyle w:val="Normal"/>
        <w:spacing w:before="240" w:after="100"/>
        <w:rPr/>
      </w:pPr>
      <w:r>
        <w:rPr/>
        <w:t>The case study identifies facilities and some marketing functions as potentially less sensitive for the initial ISMS scope, except where they involve physical access controls, CCTV, or customer information used for marketing. These areas are therefore treated as supporting or conditional scope elements rather than the primary focus of this risk assessment.</w:t>
      </w:r>
    </w:p>
    <w:p>
      <w:pPr>
        <w:pStyle w:val="Normal"/>
        <w:spacing w:before="200" w:after="100"/>
        <w:jc w:val="left"/>
        <w:rPr/>
      </w:pPr>
      <w:r>
        <w:rPr>
          <w:b/>
          <w:sz w:val="30"/>
        </w:rPr>
        <w:t>2.3 Risk acceptance criteria</w:t>
      </w:r>
    </w:p>
    <w:p>
      <w:pPr>
        <w:pStyle w:val="Normal"/>
        <w:spacing w:before="240" w:after="100"/>
        <w:rPr/>
      </w:pPr>
      <w:r>
        <w:rPr/>
        <w:t>Risk acceptance decisions are based on the bank’s business context, the sensitivity and criticality of the affected asset, the likelihood of the threat being realised, the potential impact on confidentiality, integrity and availability, existing controls, previous incidents, regulatory exposure, and the practical need for additional treatment.</w:t>
      </w:r>
    </w:p>
    <w:p>
      <w:pPr>
        <w:pStyle w:val="Normal"/>
        <w:spacing w:before="240" w:after="100"/>
        <w:rPr/>
      </w:pPr>
      <w:r>
        <w:rPr/>
        <w:t>High risks are recommended for treatment where the case study identifies an actual incident, unresolved high-risk vulnerability, significant exposure of sensitive information, material service disruption, regulatory consequence, or a clear control weakness. Medium risks may be accepted only where existing controls and the limited impact justify acceptance and where management has reviewed the residual risk. Low risks may be accepted where the affected information or service has limited exposure and existing controls are proportionate.</w:t>
      </w:r>
    </w:p>
    <w:p>
      <w:pPr>
        <w:pStyle w:val="Normal"/>
        <w:spacing w:before="240" w:after="100"/>
        <w:rPr/>
      </w:pPr>
      <w:r>
        <w:rPr/>
        <w:t>Acceptance of a risk does not remove the requirement for monitoring and periodic review. Significant changes to systems, threats, regulations, incidents or business processes require reassessment.</w:t>
      </w:r>
    </w:p>
    <w:p>
      <w:pPr>
        <w:pStyle w:val="Normal"/>
        <w:spacing w:before="200" w:after="100"/>
        <w:jc w:val="left"/>
        <w:rPr/>
      </w:pPr>
      <w:r>
        <w:rPr>
          <w:b/>
          <w:sz w:val="30"/>
        </w:rPr>
        <w:t>3 Risk assessment results summary</w:t>
      </w:r>
    </w:p>
    <w:p>
      <w:pPr>
        <w:pStyle w:val="Normal"/>
        <w:spacing w:before="240" w:after="100"/>
        <w:rPr/>
      </w:pPr>
      <w:r>
        <w:rPr/>
        <w:t>The assessment identifies a concentration of high risks around customer information, digital banking applications, privileged access, unresolved vulnerabilities, service availability and employee security awareness. These risks are consistent with the previous incidents and current weaknesses documented in the case study.</w:t>
      </w:r>
    </w:p>
    <w:p>
      <w:pPr>
        <w:pStyle w:val="Normal"/>
        <w:spacing w:before="240" w:after="100"/>
        <w:rPr/>
      </w:pPr>
      <w:r>
        <w:rPr/>
        <w:t>The most significant concerns are the unresolved high-risk vulnerabilities in Afaq Plus, excessive access to human resources network folders, the previous digital banking outage caused by a critical firewall change error, the loss of an unencrypted laptop containing customer data, the phishing simulation results, and the absence of timely and systematic monitoring and analysis in several security processes.</w:t>
      </w:r>
    </w:p>
    <w:p>
      <w:pPr>
        <w:pStyle w:val="Normal"/>
        <w:spacing w:before="240" w:after="100"/>
        <w:rPr/>
      </w:pPr>
      <w:r>
        <w:rPr/>
        <w:t>Existing controls reduce some risks. For example, the fraud detection system prevented the attempted 150,000 SAR fraudulent transfer, and the bank has network security, endpoint protection, vulnerability scanning, multi-factor authentication for some sensitive remote access, centralized logging, and a disaster recovery environment. Nevertheless, the case study shows that several controls require stronger governance, consistent implementation, or timely follow-up.</w:t>
      </w:r>
    </w:p>
    <w:p>
      <w:pPr>
        <w:pStyle w:val="Normal"/>
        <w:spacing w:before="200" w:after="100"/>
        <w:jc w:val="left"/>
        <w:rPr/>
      </w:pPr>
      <w:r>
        <w:rPr>
          <w:b/>
          <w:sz w:val="30"/>
        </w:rPr>
        <w:t>3.1 Asset-based risk assessment</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1218"/>
        <w:gridCol w:w="1218"/>
        <w:gridCol w:w="1218"/>
        <w:gridCol w:w="1218"/>
        <w:gridCol w:w="1219"/>
        <w:gridCol w:w="1218"/>
        <w:gridCol w:w="1215"/>
      </w:tblGrid>
      <w:tr>
        <w:trPr/>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REF</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ASSET</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THREAT</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TYPE</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OWNER</w:t>
            </w:r>
          </w:p>
        </w:tc>
        <w:tc>
          <w:tcPr>
            <w:tcW w:w="1219"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LEVEL</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ACCEPT OR TREAT</w:t>
            </w:r>
          </w:p>
        </w:tc>
        <w:tc>
          <w:tcPr>
            <w:tcW w:w="1215"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COMMENTS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1</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Customer Master Database</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Unauthorized disclosure or misuse of personal and financial customer data</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CISO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Contains personal and financial data for more than 500,000 customers; strong protection is required.</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2</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Afaq Plus Mobile Application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Exploitation of unresolved high-risk input validation vulnerabilities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Integrity / 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Three high-risk vulnerabilities were identified; one remained unresolved at the latest review.</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3</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Afaq Net Online Banking</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Exploitation of unresolved medium-risk application vulnerabilities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Integrity / Availability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Seven medium-risk vulnerabilities were identified in the latest assessment.</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4</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Core Banking System</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Unauthorised access or disruption affecting core banking operations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CIA</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Core system supports account opening, deposits, loans and customer relationships.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5</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Financial Transaction Database</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Unauthorised modification or disclosure of financial transactions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Integrity / 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Database Management</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Stores financial transaction records and supports critical financial processes.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6</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Human Resources Database and Network Folders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Excessive access to employee personal, payroll and performance data</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HR Manager</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Full access rights were found for some IT staff and were inherited from a previous integration project.</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7</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Privileged Accounts and Administrative Credentials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Password sharing or misuse of privileged access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 / Integrity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CISO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Privileged passwords are managed manually and the case study identifies password sharing as a control gap.</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8</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Network and Firewall Configuration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Incorrect critical change causing service interruption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Availability / Integrity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Network Manager</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previous firewall change error caused a three-hour digital banking outage.</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9</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Enterprise GitLab and Source Code</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Unauthorised access to or compromise of banking application source code</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 / Integrity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Software Development Manager</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Medium</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The repository contains source code for banking applications including Afaq Plus.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10</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Employee Laptops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Loss or disclosure of locally stored customer information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CISO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previous lost laptop contained customer data and was not protected by full-disk encryption.</w:t>
            </w:r>
          </w:p>
        </w:tc>
      </w:tr>
    </w:tbl>
    <w:p>
      <w:pPr>
        <w:pStyle w:val="Normal"/>
        <w:spacing w:before="200" w:after="100"/>
        <w:jc w:val="left"/>
        <w:rPr/>
      </w:pPr>
      <w:r>
        <w:rPr>
          <w:b/>
          <w:sz w:val="30"/>
        </w:rPr>
        <w:t>3.2 Scenario-based risk assessment</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1218"/>
        <w:gridCol w:w="1218"/>
        <w:gridCol w:w="1218"/>
        <w:gridCol w:w="1218"/>
        <w:gridCol w:w="1219"/>
        <w:gridCol w:w="1218"/>
        <w:gridCol w:w="1215"/>
      </w:tblGrid>
      <w:tr>
        <w:trPr/>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REF</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SUMMARY</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DESCRIPTION</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TYPE</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OWNER</w:t>
            </w:r>
          </w:p>
        </w:tc>
        <w:tc>
          <w:tcPr>
            <w:tcW w:w="1219"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RISK LEVEL</w:t>
            </w:r>
          </w:p>
        </w:tc>
        <w:tc>
          <w:tcPr>
            <w:tcW w:w="121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ACCEPT OR TREAT</w:t>
            </w:r>
          </w:p>
        </w:tc>
        <w:tc>
          <w:tcPr>
            <w:tcW w:w="1215"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3"/>
                <w:szCs w:val="24"/>
                <w:lang w:val="en-GB" w:eastAsia="en-US" w:bidi="ar-SA"/>
              </w:rPr>
              <w:t>COMMENTS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1</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Digital banking service outage</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critical firewall configuration change can block connections to Afaq Plus and Afaq Net, causing prolonged service interruption.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Availability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Network Manager</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Previous outage lasted three hours and generated more than 5,000 customer complaints.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2</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Fraudulent transfer through phishing</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convincing phishing message may cause an employee to initiate an unauthorised financial transfer.</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Integrity / Financial Loss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Finance Management</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previous 150,000 SAR attempt was stopped by fraud detection; employee awareness remained a weakness.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3</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Customer data exposure from lost endpoint</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Loss of an endpoint containing customer data may expose personal and financial information.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CISO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Previous lost laptop was unencrypted and reported 48 hours after loss.</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4</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Online banking trust disruption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Expired TLS/SSL certificates may cause customer security warnings and loss of confidence in digital banking.</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Availability / Trust</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previous certificate expiry caused four hours of warnings and significant reputational damage.</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5</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Excessive employee data access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Inherited access rights may allow staff to access HR folders beyond their business need.</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HR Manager</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No confirmed misuse was found, but excessive rights existed for an unknown period.</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6</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Exploitation of unresolved mobile application vulnerabilities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Attackers may exploit unresolved Afaq Plus input validation weaknesses to affect application or database interactions.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Integrity / Confidentiality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One of three high-risk findings remained unresolved at the latest assessment.</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7</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Phishing susceptibility among employees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Employees may respond to realistic phishing messages and disclose credentials.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 / Integrity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CISO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In the simulation, 25% clicked, 12% entered credentials, and only 8% reported the message.</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8</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Ransomware affecting banking information</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Ransomware may encrypt important bank data and disrupt services.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Availability / Integrity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CISO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Ransomware is explicitly identified as a major banking-sector threat.</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9</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Distributed denial-of-service against digital services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DDoS attack may make online banking services unavailable to customers.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Availability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CIO</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High</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Digital banking availability is a key customer and business requirement.</w:t>
            </w:r>
          </w:p>
        </w:tc>
      </w:tr>
      <w:tr>
        <w:trPr/>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10</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Third-party or supply-chain compromise</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A technology or service provider may suffer a breach that affects bank information or services.</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Confidentiality / Availability</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Procurement and Contracts</w:t>
            </w:r>
          </w:p>
        </w:tc>
        <w:tc>
          <w:tcPr>
            <w:tcW w:w="1219"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Medium</w:t>
            </w:r>
          </w:p>
        </w:tc>
        <w:tc>
          <w:tcPr>
            <w:tcW w:w="121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Treat</w:t>
            </w:r>
          </w:p>
        </w:tc>
        <w:tc>
          <w:tcPr>
            <w:tcW w:w="121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3"/>
                <w:szCs w:val="24"/>
                <w:lang w:val="en-GB" w:eastAsia="en-US" w:bidi="ar-SA"/>
              </w:rPr>
              <w:t>The case study identifies supply-chain attacks and several critical external technology providers.</w:t>
            </w:r>
          </w:p>
        </w:tc>
      </w:tr>
    </w:tbl>
    <w:p>
      <w:pPr>
        <w:pStyle w:val="Normal"/>
        <w:rPr/>
      </w:pPr>
      <w:r>
        <w:rPr/>
      </w:r>
      <w:r>
        <w:br w:type="page"/>
      </w:r>
    </w:p>
    <w:p>
      <w:pPr>
        <w:pStyle w:val="Normal"/>
        <w:spacing w:before="0" w:after="100"/>
        <w:jc w:val="left"/>
        <w:rPr/>
      </w:pPr>
      <w:r>
        <w:rPr>
          <w:b/>
          <w:sz w:val="30"/>
        </w:rPr>
        <w:t>4 Appendix A: Detailed risk assessment</w:t>
      </w:r>
    </w:p>
    <w:p>
      <w:pPr>
        <w:pStyle w:val="Normal"/>
        <w:spacing w:before="240" w:after="100"/>
        <w:rPr/>
      </w:pPr>
      <w:r>
        <w:rPr/>
        <w:t>The detailed assessment below records the principal asset-based risks identified from the Al-Afaq Digital Bank case study. Likelihood and impact are expressed on a five-point scale for academic risk evaluation, with the risk score calculated as likelihood multiplied by impact.</w:t>
      </w:r>
    </w:p>
    <w:p>
      <w:pPr>
        <w:pStyle w:val="Normal"/>
        <w:spacing w:before="240" w:after="100"/>
        <w:rPr/>
      </w:pPr>
      <w:r>
        <w:rPr/>
        <w:t>Likelihood scale: 1 Rare, 2 Unlikely, 3 Possible, 4 Likely, 5 Almost Certain. Impact scale: 1 Insignificant, 2 Minor, 3 Moderate, 4 Major, 5 Severe. Risk levels are interpreted as Low for scores 1–4, Medium for 5–9, High for 10–16, and Critical for 17–25.</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95"/>
        <w:gridCol w:w="697"/>
        <w:gridCol w:w="696"/>
        <w:gridCol w:w="695"/>
        <w:gridCol w:w="696"/>
        <w:gridCol w:w="697"/>
        <w:gridCol w:w="696"/>
        <w:gridCol w:w="695"/>
        <w:gridCol w:w="697"/>
        <w:gridCol w:w="697"/>
        <w:gridCol w:w="694"/>
        <w:gridCol w:w="696"/>
        <w:gridCol w:w="698"/>
        <w:gridCol w:w="694"/>
      </w:tblGrid>
      <w:tr>
        <w:trPr/>
        <w:tc>
          <w:tcPr>
            <w:tcW w:w="695"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REF</w:t>
            </w:r>
          </w:p>
        </w:tc>
        <w:tc>
          <w:tcPr>
            <w:tcW w:w="697"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ASSET GROUP</w:t>
            </w:r>
          </w:p>
        </w:tc>
        <w:tc>
          <w:tcPr>
            <w:tcW w:w="69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ASSET</w:t>
            </w:r>
          </w:p>
        </w:tc>
        <w:tc>
          <w:tcPr>
            <w:tcW w:w="695"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THREAT</w:t>
            </w:r>
          </w:p>
        </w:tc>
        <w:tc>
          <w:tcPr>
            <w:tcW w:w="69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VULNERABILITY</w:t>
            </w:r>
          </w:p>
        </w:tc>
        <w:tc>
          <w:tcPr>
            <w:tcW w:w="697"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RISK TYPE</w:t>
            </w:r>
          </w:p>
        </w:tc>
        <w:tc>
          <w:tcPr>
            <w:tcW w:w="69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RISK OWNER</w:t>
            </w:r>
          </w:p>
        </w:tc>
        <w:tc>
          <w:tcPr>
            <w:tcW w:w="695"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EXISTING CONTROLS</w:t>
            </w:r>
          </w:p>
        </w:tc>
        <w:tc>
          <w:tcPr>
            <w:tcW w:w="697"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LIKELIHOOD</w:t>
            </w:r>
          </w:p>
        </w:tc>
        <w:tc>
          <w:tcPr>
            <w:tcW w:w="697"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IMPACT</w:t>
            </w:r>
          </w:p>
        </w:tc>
        <w:tc>
          <w:tcPr>
            <w:tcW w:w="694"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RISK SCORE</w:t>
            </w:r>
          </w:p>
        </w:tc>
        <w:tc>
          <w:tcPr>
            <w:tcW w:w="696"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RISK LEVEL</w:t>
            </w:r>
          </w:p>
        </w:tc>
        <w:tc>
          <w:tcPr>
            <w:tcW w:w="698"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TREATMENT</w:t>
            </w:r>
          </w:p>
        </w:tc>
        <w:tc>
          <w:tcPr>
            <w:tcW w:w="694" w:type="dxa"/>
            <w:tcBorders/>
            <w:shd w:fill="0B9BA5"/>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1"/>
                <w:szCs w:val="24"/>
                <w:lang w:val="en-GB" w:eastAsia="en-US" w:bidi="ar-SA"/>
              </w:rPr>
              <w:t>RATIONALE</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Customer Master Database</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External attacker or unauthorised user gains access to customer 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Internet exposure and high-value customer data</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Confidentiality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CISO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Network, web and endpoint security controls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16</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Customer personal and financial data require strong protection; data exposure creates regulatory and trust consequences.</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2</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Software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Afaq Plus Mobile Application</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Attacker exploits input validation weaknesses</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Three high-risk vulnerabilities remain partly unresolved</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Integrity / Confidentiality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FortiWeb, IDS/IPS, Qualys and security testing</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5</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20</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Critical</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The latest external assessment identified three high-risk vulnerabilities; one remained unresolved.</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3</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Software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Afaq Net Online Banking</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Attacker exploits unresolved application weaknesses</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Seven medium-risk vulnerabilities were identified</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Integrity / Availability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FortiWeb, IDS/IPS and vulnerability scanning</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16</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Unresolved findings increase exposure of a customer-facing banking service.</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Financial Transaction Database</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Unauthorised modification or disclosure of transaction records</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Critical financial information is held in a dedicated database</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Integrity / Confidentiality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Database Management</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Separate Oracle database and access controls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3</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5</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15</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Financial transaction integrity is essential to banking operations and customer trust.</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5</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HR Database and Network Folders</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Unauthorised access to employee personal and payroll 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Excessive inherited permissions remained after a previous integration project</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Confidentiality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HR Manager</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Active Directory and access review</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16</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The case study found full access rights for some IT staff without evidence of actual misuse.</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6</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People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Privileged Accounts</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Privileged credentials are shared or managed insecurely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Manual privileged password management and password-sharing weakness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Confidentiality / Integrity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CISO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Active Directory and RSA SecurID for some sensitive remote access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16</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The case study explicitly identifies gaps in privileged account and password management.</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7</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Network</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Firewall Configuration</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Incorrect critical change blocks banking application traffic</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No two-person review for critical changes and no rapid rollback process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Availability / Integrity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Network Manager</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High-availability Palo Alto firewall pair</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5</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20</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Critical</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 previous change error caused a three-hour digital banking outage.</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8</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Customer Data on Employee Laptops</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Lost device exposes locally stored customer 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Full-disk encryption was not enabled on all devices at the time of the incident</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Confidentiality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CISO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Endpoint protection and device management</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5</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20</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Critical</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 previous lost laptop contained customer information and resulted in regulatory and customer-related costs.</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9</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Software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Enterprise GitLab Source Code</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Unauthorised access to banking application source code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Source code supports customer-facing and internal applications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Confidentiality / Integrity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Software Development Manager</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Internal Enterprise GitLab and separated development/testing environments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3</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12</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Source code is a significant technical asset supporting Afaq Plus, Afaq Net and internal systems.</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10</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Service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Digital Banking Services</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Service becomes unavailable through DDoS or operational failure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 customer dependence on digital banking and previous outage</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Availability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Palo Alto, IDS/IPS, monitoring and disaster recovery capabilities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5</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20</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Critical</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Continuous digital banking availability is a key customer and business requirement.</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11</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Service</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TLS/SSL Certificates</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Expired certificates cause security warnings and loss of customer trust</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No automated certificate expiry monitoring was present during the previous incident</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Availability / Trust</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TLS/SSL certificates and security monitoring</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16</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The previous expiry lasted four hours and caused significant reputational impact.</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12</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Information</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Security and Event Logs</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Delayed detection or investigation because logs are analysed manually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Central Syslog exists but SIEM analysis is not currently automated</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Integrity / Availability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CISO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Central Syslog and SOC</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16</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Manual analysis weakens timely detection and investigation of security events.</w:t>
            </w:r>
          </w:p>
        </w:tc>
      </w:tr>
      <w:tr>
        <w:trPr/>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13</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Business Process</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Security Awareness</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Employees fall for phishing or fail to report suspicious messages</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Simulation showed 25% clicking, 12% entering credentials and only 8% reporting</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Confidentiality / Integrity</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CISO</w:t>
            </w:r>
          </w:p>
        </w:tc>
        <w:tc>
          <w:tcPr>
            <w:tcW w:w="695"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Secure email gateway and existing awareness activities</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7"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4</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16</w:t>
            </w:r>
          </w:p>
        </w:tc>
        <w:tc>
          <w:tcPr>
            <w:tcW w:w="696"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High</w:t>
            </w:r>
          </w:p>
        </w:tc>
        <w:tc>
          <w:tcPr>
            <w:tcW w:w="698"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Treat</w:t>
            </w:r>
          </w:p>
        </w:tc>
        <w:tc>
          <w:tcPr>
            <w:tcW w:w="694" w:type="dxa"/>
            <w:tcBorders/>
            <w:vAlign w:val="center"/>
          </w:tcPr>
          <w:p>
            <w:pPr>
              <w:pStyle w:val="Normal"/>
              <w:widowControl/>
              <w:suppressAutoHyphens w:val="true"/>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1"/>
                <w:szCs w:val="24"/>
                <w:lang w:val="en-GB" w:eastAsia="en-US" w:bidi="ar-SA"/>
              </w:rPr>
              <w:t>The simulation demonstrates a measurable awareness weakness across the workforce.</w:t>
            </w:r>
          </w:p>
        </w:tc>
      </w:tr>
    </w:tbl>
    <w:p>
      <w:pPr>
        <w:pStyle w:val="Caption"/>
        <w:jc w:val="center"/>
        <w:rPr/>
      </w:pPr>
      <w:r>
        <w:rPr/>
        <w:t>Figure 1: Detailed asset-based risk assessment</w:t>
      </w:r>
    </w:p>
    <w:p>
      <w:pPr>
        <w:pStyle w:val="Normal"/>
        <w:spacing w:before="200" w:after="100"/>
        <w:jc w:val="left"/>
        <w:rPr/>
      </w:pPr>
      <w:r>
        <w:rPr>
          <w:b/>
          <w:sz w:val="30"/>
        </w:rPr>
        <w:t>References</w:t>
      </w:r>
    </w:p>
    <w:p>
      <w:pPr>
        <w:pStyle w:val="Normal"/>
        <w:spacing w:before="240" w:after="100"/>
        <w:rPr/>
      </w:pPr>
      <w:r>
        <w:rPr/>
        <w:t>ISO/IEC 27001:2022 Information security, cybersecurity and privacy protection — Information security management systems — Requirements.</w:t>
      </w:r>
    </w:p>
    <w:p>
      <w:pPr>
        <w:pStyle w:val="Normal"/>
        <w:spacing w:before="240" w:after="100"/>
        <w:rPr/>
      </w:pPr>
      <w:r>
        <w:rPr/>
        <w:t>Saudi Central Bank (SAMA) cybersecurity and banking regulatory requirements .</w:t>
      </w:r>
    </w:p>
    <w:p>
      <w:pPr>
        <w:pStyle w:val="Normal"/>
        <w:spacing w:before="240" w:after="1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008" w:footer="708" w:bottom="100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ptos">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40" w:after="240"/>
      <w:jc w:val="center"/>
      <w:rPr/>
    </w:pPr>
    <w:r>
      <w:rPr>
        <w:sz w:val="16"/>
      </w:rPr>
      <w:t>Al-Afaq Digital Bank | ISMS-DOC-06-3 | Version 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40" w:after="240"/>
      <w:jc w:val="center"/>
      <w:rPr/>
    </w:pPr>
    <w:r>
      <w:rPr>
        <w:b/>
        <w:sz w:val="17"/>
      </w:rPr>
      <w:t>Al-Afaq Digital Bank | Information Security Risk Assessment Report | Internal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pStyle w:val="Heading4"/>
      <w:numFmt w:val="decimal"/>
      <w:lvlText w:val="%1.%2.%3.%4"/>
      <w:lvlJc w:val="left"/>
      <w:pPr>
        <w:tabs>
          <w:tab w:val="num" w:pos="2566"/>
        </w:tabs>
        <w:ind w:left="2566" w:hanging="864"/>
      </w:pPr>
      <w:rPr>
        <w:smallCaps w:val="false"/>
        <w:caps w:val="false"/>
        <w:outline w:val="false"/>
        <w:dstrike w:val="false"/>
        <w:strike w:val="false"/>
        <w:vertAlign w:val="baseline"/>
        <w:position w:val="0"/>
        <w:sz w:val="24"/>
        <w:sz w:val="24"/>
        <w:spacing w:val="0"/>
        <w:i w:val="false"/>
        <w:shadow w:val="false"/>
        <w:u w:val="none"/>
        <w:b w:val="false"/>
        <w:kern w:val="0"/>
        <w:effect w:val="none"/>
        <w:iCs w:val="false"/>
        <w:bCs w:val="false"/>
        <w:em w:val="none"/>
        <w:emboss w:val="false"/>
        <w:imprint w:val="false"/>
        <w:vanish w:val="fals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2566"/>
        </w:tabs>
        <w:ind w:left="2566" w:hanging="864"/>
      </w:pPr>
      <w:rPr>
        <w:smallCaps w:val="false"/>
        <w:caps w:val="false"/>
        <w:outline w:val="false"/>
        <w:dstrike w:val="false"/>
        <w:strike w:val="false"/>
        <w:vertAlign w:val="baseline"/>
        <w:position w:val="0"/>
        <w:sz w:val="24"/>
        <w:sz w:val="24"/>
        <w:spacing w:val="0"/>
        <w:i w:val="false"/>
        <w:shadow w:val="false"/>
        <w:u w:val="none"/>
        <w:b w:val="false"/>
        <w:kern w:val="0"/>
        <w:effect w:val="none"/>
        <w:iCs w:val="false"/>
        <w:bCs w:val="false"/>
        <w:em w:val="none"/>
        <w:emboss w:val="false"/>
        <w:imprint w:val="false"/>
        <w:vanish w:val="fals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asciiTheme="minorHAnsi" w:hAnsiTheme="minorHAnsi"/>
        <w:color w:val="444444"/>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4"/>
    <w:qFormat/>
    <w:rsid w:val="00dc46ce"/>
    <w:pPr>
      <w:widowControl/>
      <w:suppressAutoHyphens w:val="true"/>
      <w:bidi w:val="0"/>
      <w:spacing w:lineRule="auto" w:line="240" w:before="240" w:after="240"/>
      <w:jc w:val="left"/>
    </w:pPr>
    <w:rPr>
      <w:rFonts w:ascii="Aptos" w:hAnsi="Aptos" w:eastAsia="Times New Roman" w:cs="Times New Roman"/>
      <w:color w:val="444444"/>
      <w:kern w:val="0"/>
      <w:sz w:val="21"/>
      <w:szCs w:val="24"/>
      <w:lang w:val="en-GB" w:eastAsia="en-US" w:bidi="ar-SA"/>
    </w:rPr>
  </w:style>
  <w:style w:type="paragraph" w:styleId="Heading1">
    <w:name w:val="Heading 1"/>
    <w:basedOn w:val="Normal"/>
    <w:next w:val="Heading2"/>
    <w:link w:val="Heading1Char"/>
    <w:autoRedefine/>
    <w:qFormat/>
    <w:rsid w:val="00dc46ce"/>
    <w:pPr>
      <w:keepNext w:val="true"/>
      <w:numPr>
        <w:ilvl w:val="0"/>
        <w:numId w:val="3"/>
      </w:numPr>
      <w:outlineLvl w:val="0"/>
    </w:pPr>
    <w:rPr>
      <w:rFonts w:ascii="Aptos" w:hAnsi="Aptos" w:eastAsia="" w:cs="" w:cstheme="majorBidi" w:eastAsiaTheme="majorEastAsia"/>
      <w:color w:themeColor="text2" w:val="009BA4"/>
      <w:kern w:val="2"/>
      <w:sz w:val="36"/>
    </w:rPr>
  </w:style>
  <w:style w:type="paragraph" w:styleId="Heading2">
    <w:name w:val="Heading 2"/>
    <w:basedOn w:val="Normal"/>
    <w:next w:val="Heading3"/>
    <w:link w:val="Heading2Char"/>
    <w:autoRedefine/>
    <w:uiPriority w:val="1"/>
    <w:qFormat/>
    <w:rsid w:val="00dc46ce"/>
    <w:pPr>
      <w:keepNext w:val="true"/>
      <w:numPr>
        <w:ilvl w:val="1"/>
        <w:numId w:val="3"/>
      </w:numPr>
      <w:outlineLvl w:val="1"/>
    </w:pPr>
    <w:rPr>
      <w:rFonts w:ascii="Aptos" w:hAnsi="Aptos" w:eastAsia="" w:cs="" w:cstheme="majorBidi" w:eastAsiaTheme="majorEastAsia"/>
      <w:color w:themeColor="text2" w:val="009BA4"/>
      <w:sz w:val="32"/>
    </w:rPr>
  </w:style>
  <w:style w:type="paragraph" w:styleId="Heading3">
    <w:name w:val="Heading 3"/>
    <w:basedOn w:val="Normal"/>
    <w:next w:val="Normal"/>
    <w:link w:val="Heading3Char"/>
    <w:autoRedefine/>
    <w:uiPriority w:val="2"/>
    <w:qFormat/>
    <w:rsid w:val="00dc46ce"/>
    <w:pPr>
      <w:numPr>
        <w:ilvl w:val="2"/>
        <w:numId w:val="3"/>
      </w:numPr>
      <w:tabs>
        <w:tab w:val="clear" w:pos="720"/>
        <w:tab w:val="left" w:pos="1134" w:leader="none"/>
      </w:tabs>
      <w:outlineLvl w:val="2"/>
    </w:pPr>
    <w:rPr>
      <w:rFonts w:ascii="Aptos" w:hAnsi="Aptos" w:eastAsia="" w:cs="" w:cstheme="majorBidi" w:eastAsiaTheme="majorEastAsia"/>
      <w:color w:themeColor="text2" w:val="009BA4"/>
      <w:sz w:val="28"/>
    </w:rPr>
  </w:style>
  <w:style w:type="paragraph" w:styleId="Heading4">
    <w:name w:val="Heading 4"/>
    <w:basedOn w:val="Heading3"/>
    <w:next w:val="Normal"/>
    <w:link w:val="Heading4Char"/>
    <w:uiPriority w:val="3"/>
    <w:qFormat/>
    <w:rsid w:val="00dc46ce"/>
    <w:pPr>
      <w:keepNext w:val="true"/>
      <w:keepLines/>
      <w:numPr>
        <w:ilvl w:val="3"/>
        <w:numId w:val="1"/>
      </w:numPr>
      <w:ind w:hanging="992" w:left="992"/>
      <w:outlineLvl w:val="3"/>
    </w:pPr>
    <w:rPr>
      <w:rFonts w:cs="Calibri" w:cstheme="minorHAnsi"/>
    </w:rPr>
  </w:style>
  <w:style w:type="paragraph" w:styleId="Heading5">
    <w:name w:val="Heading 5"/>
    <w:basedOn w:val="Normal"/>
    <w:next w:val="Normal"/>
    <w:link w:val="Heading5Char"/>
    <w:uiPriority w:val="9"/>
    <w:unhideWhenUsed/>
    <w:qFormat/>
    <w:rsid w:val="003d4c4a"/>
    <w:pPr>
      <w:pBdr>
        <w:bottom w:val="single" w:sz="6" w:space="1" w:color="009BA4" w:themeColor="accent1"/>
      </w:pBdr>
      <w:spacing w:before="200" w:after="0"/>
      <w:outlineLvl w:val="4"/>
    </w:pPr>
    <w:rPr>
      <w:caps/>
      <w:color w:themeColor="accent1" w:themeShade="bf" w:val="00737A"/>
      <w:spacing w:val="10"/>
    </w:rPr>
  </w:style>
  <w:style w:type="paragraph" w:styleId="Heading6">
    <w:name w:val="Heading 6"/>
    <w:basedOn w:val="Normal"/>
    <w:next w:val="Normal"/>
    <w:link w:val="Heading6Char"/>
    <w:uiPriority w:val="9"/>
    <w:semiHidden/>
    <w:unhideWhenUsed/>
    <w:qFormat/>
    <w:rsid w:val="003d4c4a"/>
    <w:pPr>
      <w:pBdr>
        <w:bottom w:val="dotted" w:sz="6" w:space="1" w:color="009BA4" w:themeColor="accent1"/>
      </w:pBdr>
      <w:spacing w:before="200" w:after="0"/>
      <w:outlineLvl w:val="5"/>
    </w:pPr>
    <w:rPr>
      <w:caps/>
      <w:color w:themeColor="accent1" w:themeShade="bf" w:val="00737A"/>
      <w:spacing w:val="10"/>
    </w:rPr>
  </w:style>
  <w:style w:type="paragraph" w:styleId="Heading7">
    <w:name w:val="Heading 7"/>
    <w:basedOn w:val="Normal"/>
    <w:next w:val="Normal"/>
    <w:link w:val="Heading7Char"/>
    <w:uiPriority w:val="9"/>
    <w:semiHidden/>
    <w:unhideWhenUsed/>
    <w:qFormat/>
    <w:rsid w:val="00dc46ce"/>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004D51"/>
    </w:rPr>
  </w:style>
  <w:style w:type="paragraph" w:styleId="Heading8">
    <w:name w:val="Heading 8"/>
    <w:basedOn w:val="Normal"/>
    <w:next w:val="Normal"/>
    <w:link w:val="Heading8Char"/>
    <w:uiPriority w:val="9"/>
    <w:semiHidden/>
    <w:unhideWhenUsed/>
    <w:qFormat/>
    <w:rsid w:val="00dc46ce"/>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606060"/>
      <w:sz w:val="21"/>
      <w:szCs w:val="21"/>
    </w:rPr>
  </w:style>
  <w:style w:type="paragraph" w:styleId="Heading9">
    <w:name w:val="Heading 9"/>
    <w:basedOn w:val="Normal"/>
    <w:next w:val="Normal"/>
    <w:link w:val="Heading9Char"/>
    <w:uiPriority w:val="9"/>
    <w:semiHidden/>
    <w:unhideWhenUsed/>
    <w:qFormat/>
    <w:rsid w:val="00dc46ce"/>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dc46ce"/>
    <w:rPr>
      <w:rFonts w:eastAsia="" w:cs="" w:cstheme="majorBidi" w:eastAsiaTheme="majorEastAsia"/>
      <w:color w:themeColor="text2" w:val="009BA4"/>
      <w:kern w:val="2"/>
      <w:sz w:val="36"/>
    </w:rPr>
  </w:style>
  <w:style w:type="character" w:styleId="Heading2Char" w:customStyle="1">
    <w:name w:val="Heading 2 Char"/>
    <w:basedOn w:val="DefaultParagraphFont"/>
    <w:link w:val="Heading2"/>
    <w:uiPriority w:val="1"/>
    <w:qFormat/>
    <w:rsid w:val="00dc46ce"/>
    <w:rPr>
      <w:rFonts w:eastAsia="" w:cs="" w:cstheme="majorBidi" w:eastAsiaTheme="majorEastAsia"/>
      <w:color w:themeColor="text2" w:val="009BA4"/>
      <w:sz w:val="32"/>
    </w:rPr>
  </w:style>
  <w:style w:type="character" w:styleId="Heading3Char" w:customStyle="1">
    <w:name w:val="Heading 3 Char"/>
    <w:basedOn w:val="DefaultParagraphFont"/>
    <w:link w:val="Heading3"/>
    <w:uiPriority w:val="2"/>
    <w:qFormat/>
    <w:rsid w:val="00dc46ce"/>
    <w:rPr>
      <w:rFonts w:eastAsia="" w:cs="" w:cstheme="majorBidi" w:eastAsiaTheme="majorEastAsia"/>
      <w:color w:themeColor="text2" w:val="009BA4"/>
      <w:sz w:val="28"/>
    </w:rPr>
  </w:style>
  <w:style w:type="character" w:styleId="BulletedlistChar" w:customStyle="1">
    <w:name w:val="Bulleted list Char"/>
    <w:basedOn w:val="DefaultParagraphFont"/>
    <w:link w:val="Bulletedlist"/>
    <w:uiPriority w:val="5"/>
    <w:qFormat/>
    <w:rsid w:val="00dc46ce"/>
    <w:rPr/>
  </w:style>
  <w:style w:type="character" w:styleId="BulletedlistheaderChar" w:customStyle="1">
    <w:name w:val="Bulleted list header Char"/>
    <w:basedOn w:val="DefaultParagraphFont"/>
    <w:link w:val="Bulletedlistheader"/>
    <w:uiPriority w:val="24"/>
    <w:qFormat/>
    <w:rsid w:val="00427115"/>
    <w:rPr>
      <w:rFonts w:cs="Calibri" w:cstheme="minorHAnsi"/>
      <w:b/>
      <w:iCs/>
      <w:color w:val="000000"/>
    </w:rPr>
  </w:style>
  <w:style w:type="character" w:styleId="HeaderChar" w:customStyle="1">
    <w:name w:val="Header Char"/>
    <w:basedOn w:val="DefaultParagraphFont"/>
    <w:link w:val="Header"/>
    <w:uiPriority w:val="99"/>
    <w:qFormat/>
    <w:rsid w:val="002908a1"/>
    <w:rPr>
      <w:rFonts w:cs="Times New Roman"/>
      <w:color w:val="444444"/>
      <w:sz w:val="24"/>
      <w:szCs w:val="20"/>
    </w:rPr>
  </w:style>
  <w:style w:type="character" w:styleId="FooterChar" w:customStyle="1">
    <w:name w:val="Footer Char"/>
    <w:basedOn w:val="DefaultParagraphFont"/>
    <w:link w:val="Footer"/>
    <w:uiPriority w:val="99"/>
    <w:qFormat/>
    <w:rsid w:val="002908a1"/>
    <w:rPr>
      <w:rFonts w:cs="Times New Roman"/>
      <w:color w:val="444444"/>
      <w:sz w:val="24"/>
      <w:szCs w:val="20"/>
    </w:rPr>
  </w:style>
  <w:style w:type="character" w:styleId="Hyperlink">
    <w:name w:val="Hyperlink"/>
    <w:basedOn w:val="DefaultParagraphFont"/>
    <w:uiPriority w:val="99"/>
    <w:unhideWhenUsed/>
    <w:rsid w:val="002908a1"/>
    <w:rPr>
      <w:color w:themeColor="hyperlink" w:val="0563C1"/>
      <w:u w:val="single"/>
    </w:rPr>
  </w:style>
  <w:style w:type="character" w:styleId="Strong">
    <w:name w:val="Strong"/>
    <w:uiPriority w:val="22"/>
    <w:qFormat/>
    <w:rsid w:val="003d4c4a"/>
    <w:rPr>
      <w:b/>
      <w:bCs/>
    </w:rPr>
  </w:style>
  <w:style w:type="character" w:styleId="BalloonTextChar" w:customStyle="1">
    <w:name w:val="Balloon Text Char"/>
    <w:basedOn w:val="DefaultParagraphFont"/>
    <w:link w:val="BalloonText"/>
    <w:uiPriority w:val="99"/>
    <w:semiHidden/>
    <w:qFormat/>
    <w:rsid w:val="002908a1"/>
    <w:rPr>
      <w:rFonts w:ascii="Segoe UI" w:hAnsi="Segoe UI" w:cs="Segoe UI"/>
      <w:color w:val="444444"/>
      <w:sz w:val="18"/>
      <w:szCs w:val="18"/>
    </w:rPr>
  </w:style>
  <w:style w:type="character" w:styleId="UnresolvedMention">
    <w:name w:val="Unresolved Mention"/>
    <w:basedOn w:val="DefaultParagraphFont"/>
    <w:uiPriority w:val="99"/>
    <w:semiHidden/>
    <w:unhideWhenUsed/>
    <w:qFormat/>
    <w:rsid w:val="005e23f7"/>
    <w:rPr>
      <w:color w:val="605E5C"/>
      <w:shd w:fill="E1DFDD" w:val="clear"/>
    </w:rPr>
  </w:style>
  <w:style w:type="character" w:styleId="FollowedHyperlink">
    <w:name w:val="FollowedHyperlink"/>
    <w:basedOn w:val="DefaultParagraphFont"/>
    <w:uiPriority w:val="99"/>
    <w:semiHidden/>
    <w:unhideWhenUsed/>
    <w:rsid w:val="005e23f7"/>
    <w:rPr>
      <w:color w:themeColor="followedHyperlink" w:val="954F72"/>
      <w:u w:val="single"/>
    </w:rPr>
  </w:style>
  <w:style w:type="character" w:styleId="TableBodyChar" w:customStyle="1">
    <w:name w:val="Table Body Char"/>
    <w:basedOn w:val="DefaultParagraphFont"/>
    <w:link w:val="TableBody"/>
    <w:uiPriority w:val="7"/>
    <w:qFormat/>
    <w:rsid w:val="00dc46ce"/>
    <w:rPr>
      <w:color w:themeColor="text1" w:val="444444"/>
      <w:sz w:val="20"/>
    </w:rPr>
  </w:style>
  <w:style w:type="character" w:styleId="TableHeadingChar" w:customStyle="1">
    <w:name w:val="Table Heading Char"/>
    <w:basedOn w:val="TableBodyChar"/>
    <w:link w:val="TableHeading"/>
    <w:uiPriority w:val="6"/>
    <w:qFormat/>
    <w:rsid w:val="00dc46ce"/>
    <w:rPr>
      <w:b/>
      <w:bCs/>
      <w:color w:themeColor="background1" w:val="FFFFFF"/>
      <w:sz w:val="20"/>
    </w:rPr>
  </w:style>
  <w:style w:type="character" w:styleId="Heading4Char" w:customStyle="1">
    <w:name w:val="Heading 4 Char"/>
    <w:basedOn w:val="DefaultParagraphFont"/>
    <w:link w:val="Heading4"/>
    <w:uiPriority w:val="3"/>
    <w:qFormat/>
    <w:rsid w:val="00dc46ce"/>
    <w:rPr>
      <w:rFonts w:eastAsia="" w:cs="Calibri" w:cstheme="minorHAnsi" w:eastAsiaTheme="majorEastAsia"/>
      <w:color w:themeColor="text2" w:val="009BA4"/>
      <w:sz w:val="28"/>
    </w:rPr>
  </w:style>
  <w:style w:type="character" w:styleId="PlaceholderText">
    <w:name w:val="Placeholder Text"/>
    <w:basedOn w:val="DefaultParagraphFont"/>
    <w:uiPriority w:val="99"/>
    <w:semiHidden/>
    <w:qFormat/>
    <w:rsid w:val="00c76662"/>
    <w:rPr>
      <w:color w:val="808080"/>
    </w:rPr>
  </w:style>
  <w:style w:type="character" w:styleId="Heading5Char" w:customStyle="1">
    <w:name w:val="Heading 5 Char"/>
    <w:basedOn w:val="DefaultParagraphFont"/>
    <w:link w:val="Heading5"/>
    <w:uiPriority w:val="9"/>
    <w:qFormat/>
    <w:rsid w:val="003d4c4a"/>
    <w:rPr>
      <w:caps/>
      <w:color w:themeColor="accent1" w:themeShade="bf" w:val="00737A"/>
      <w:spacing w:val="10"/>
    </w:rPr>
  </w:style>
  <w:style w:type="character" w:styleId="Classification" w:customStyle="1">
    <w:name w:val="Classification"/>
    <w:basedOn w:val="DefaultParagraphFont"/>
    <w:uiPriority w:val="21"/>
    <w:qFormat/>
    <w:rsid w:val="00662039"/>
    <w:rPr>
      <w:rFonts w:ascii="Calibri" w:hAnsi="Calibri" w:asciiTheme="minorHAnsi" w:hAnsiTheme="minorHAnsi"/>
      <w:sz w:val="20"/>
    </w:rPr>
  </w:style>
  <w:style w:type="character" w:styleId="Style11" w:customStyle="1">
    <w:name w:val="Style1"/>
    <w:basedOn w:val="DefaultParagraphFont"/>
    <w:uiPriority w:val="21"/>
    <w:qFormat/>
    <w:rsid w:val="00e51f56"/>
    <w:rPr>
      <w:rFonts w:ascii="Calibri" w:hAnsi="Calibri" w:asciiTheme="minorHAnsi" w:hAnsiTheme="minorHAnsi"/>
      <w:color w:val="444444"/>
      <w:sz w:val="20"/>
    </w:rPr>
  </w:style>
  <w:style w:type="character" w:styleId="Versionnumber" w:customStyle="1">
    <w:name w:val="Version number"/>
    <w:basedOn w:val="DefaultParagraphFont"/>
    <w:uiPriority w:val="19"/>
    <w:qFormat/>
    <w:rsid w:val="00e51f56"/>
    <w:rPr>
      <w:rFonts w:ascii="Calibri" w:hAnsi="Calibri" w:asciiTheme="minorHAnsi" w:hAnsiTheme="minorHAnsi"/>
      <w:sz w:val="20"/>
    </w:rPr>
  </w:style>
  <w:style w:type="character" w:styleId="ToolkitDate" w:customStyle="1">
    <w:name w:val="Toolkit Date"/>
    <w:basedOn w:val="DefaultParagraphFont"/>
    <w:uiPriority w:val="27"/>
    <w:qFormat/>
    <w:rsid w:val="00db4c5f"/>
    <w:rPr>
      <w:rFonts w:ascii="Calibri" w:hAnsi="Calibri" w:asciiTheme="minorHAnsi" w:hAnsiTheme="minorHAnsi"/>
      <w:sz w:val="20"/>
    </w:rPr>
  </w:style>
  <w:style w:type="character" w:styleId="NoSpacingChar" w:customStyle="1">
    <w:name w:val="No Spacing Char"/>
    <w:basedOn w:val="DefaultParagraphFont"/>
    <w:link w:val="NoSpacing"/>
    <w:uiPriority w:val="1"/>
    <w:qFormat/>
    <w:rsid w:val="00b77f8e"/>
    <w:rPr/>
  </w:style>
  <w:style w:type="character" w:styleId="TitleWhiteChar" w:customStyle="1">
    <w:name w:val="Title (White) Char"/>
    <w:basedOn w:val="DefaultParagraphFont"/>
    <w:link w:val="TitleWhite"/>
    <w:uiPriority w:val="11"/>
    <w:qFormat/>
    <w:rsid w:val="00dc46ce"/>
    <w:rPr>
      <w:b/>
      <w:bCs/>
      <w:color w:themeColor="background1" w:val="FFFFFF"/>
      <w:sz w:val="56"/>
      <w:szCs w:val="48"/>
    </w:rPr>
  </w:style>
  <w:style w:type="character" w:styleId="HeadingXChar" w:customStyle="1">
    <w:name w:val="Heading X Char"/>
    <w:basedOn w:val="DefaultParagraphFont"/>
    <w:link w:val="HeadingX"/>
    <w:uiPriority w:val="9"/>
    <w:qFormat/>
    <w:rsid w:val="00dc46ce"/>
    <w:rPr>
      <w:color w:themeColor="text2" w:val="009BA4"/>
      <w:sz w:val="36"/>
      <w:szCs w:val="28"/>
    </w:rPr>
  </w:style>
  <w:style w:type="character" w:styleId="HeadingYChar" w:customStyle="1">
    <w:name w:val="Heading Y Char"/>
    <w:basedOn w:val="DefaultParagraphFont"/>
    <w:link w:val="HeadingY"/>
    <w:uiPriority w:val="10"/>
    <w:qFormat/>
    <w:rsid w:val="00dc46ce"/>
    <w:rPr>
      <w:color w:themeColor="text2" w:val="009BA4"/>
      <w:sz w:val="32"/>
    </w:rPr>
  </w:style>
  <w:style w:type="character" w:styleId="TitleBlackChar" w:customStyle="1">
    <w:name w:val="Title (Black) Char"/>
    <w:basedOn w:val="DefaultParagraphFont"/>
    <w:link w:val="TitleBlack"/>
    <w:uiPriority w:val="12"/>
    <w:qFormat/>
    <w:rsid w:val="00dc46ce"/>
    <w:rPr>
      <w:b/>
      <w:bCs/>
      <w:sz w:val="56"/>
      <w:szCs w:val="48"/>
    </w:rPr>
  </w:style>
  <w:style w:type="character" w:styleId="TitlePageBlackChar" w:customStyle="1">
    <w:name w:val="Title Page (Black) Char"/>
    <w:basedOn w:val="TitleBlackChar"/>
    <w:link w:val="TitlePageBlack"/>
    <w:uiPriority w:val="35"/>
    <w:qFormat/>
    <w:rsid w:val="00c70b41"/>
    <w:rPr>
      <w:b/>
      <w:bCs/>
      <w:sz w:val="56"/>
      <w:szCs w:val="48"/>
    </w:rPr>
  </w:style>
  <w:style w:type="character" w:styleId="ToolkitNameChar" w:customStyle="1">
    <w:name w:val="Toolkit Name Char"/>
    <w:basedOn w:val="DefaultParagraphFont"/>
    <w:link w:val="ToolkitName"/>
    <w:uiPriority w:val="13"/>
    <w:qFormat/>
    <w:rsid w:val="00dc46ce"/>
    <w:rPr>
      <w:rFonts w:ascii="Calibri Light" w:hAnsi="Calibri Light" w:cs="Calibri Light" w:asciiTheme="majorHAnsi" w:cstheme="majorHAnsi" w:hAnsiTheme="majorHAnsi"/>
      <w:b/>
      <w:bCs/>
      <w:color w:themeColor="background1" w:val="FFFFFF"/>
      <w:sz w:val="36"/>
      <w:szCs w:val="36"/>
    </w:rPr>
  </w:style>
  <w:style w:type="character" w:styleId="TitlePageTableHeaderChar" w:customStyle="1">
    <w:name w:val="Title Page Table Header Char"/>
    <w:basedOn w:val="TableHeadingChar"/>
    <w:link w:val="TitlePageTableHeader"/>
    <w:uiPriority w:val="8"/>
    <w:qFormat/>
    <w:rsid w:val="00df7d15"/>
    <w:rPr>
      <w:b/>
      <w:bCs/>
      <w:color w:themeColor="background1" w:val="FFFFFF"/>
      <w:sz w:val="20"/>
    </w:rPr>
  </w:style>
  <w:style w:type="character" w:styleId="FormheaderChar" w:customStyle="1">
    <w:name w:val="Form header Char"/>
    <w:basedOn w:val="DefaultParagraphFont"/>
    <w:link w:val="Formheader"/>
    <w:uiPriority w:val="16"/>
    <w:qFormat/>
    <w:rsid w:val="00dc46ce"/>
    <w:rPr>
      <w:b/>
      <w:bCs/>
    </w:rPr>
  </w:style>
  <w:style w:type="character" w:styleId="Heading7Char" w:customStyle="1">
    <w:name w:val="Heading 7 Char"/>
    <w:basedOn w:val="DefaultParagraphFont"/>
    <w:link w:val="Heading7"/>
    <w:uiPriority w:val="9"/>
    <w:semiHidden/>
    <w:qFormat/>
    <w:rsid w:val="00dc46ce"/>
    <w:rPr>
      <w:rFonts w:ascii="Calibri Light" w:hAnsi="Calibri Light" w:eastAsia="" w:cs="" w:asciiTheme="majorHAnsi" w:cstheme="majorBidi" w:eastAsiaTheme="majorEastAsia" w:hAnsiTheme="majorHAnsi"/>
      <w:i/>
      <w:iCs/>
      <w:color w:themeColor="accent1" w:themeShade="7f" w:val="004D51"/>
    </w:rPr>
  </w:style>
  <w:style w:type="character" w:styleId="Heading8Char" w:customStyle="1">
    <w:name w:val="Heading 8 Char"/>
    <w:basedOn w:val="DefaultParagraphFont"/>
    <w:link w:val="Heading8"/>
    <w:uiPriority w:val="9"/>
    <w:semiHidden/>
    <w:qFormat/>
    <w:rsid w:val="00dc46ce"/>
    <w:rPr>
      <w:rFonts w:ascii="Calibri Light" w:hAnsi="Calibri Light" w:eastAsia="" w:cs="" w:asciiTheme="majorHAnsi" w:cstheme="majorBidi" w:eastAsiaTheme="majorEastAsia" w:hAnsiTheme="majorHAnsi"/>
      <w:color w:themeColor="text1" w:themeTint="d8" w:val="606060"/>
      <w:sz w:val="21"/>
      <w:szCs w:val="21"/>
    </w:rPr>
  </w:style>
  <w:style w:type="character" w:styleId="Heading9Char" w:customStyle="1">
    <w:name w:val="Heading 9 Char"/>
    <w:basedOn w:val="DefaultParagraphFont"/>
    <w:link w:val="Heading9"/>
    <w:uiPriority w:val="9"/>
    <w:semiHidden/>
    <w:qFormat/>
    <w:rsid w:val="00dc46ce"/>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FormtitleChar" w:customStyle="1">
    <w:name w:val="Form title Char"/>
    <w:basedOn w:val="DefaultParagraphFont"/>
    <w:link w:val="Formtitle"/>
    <w:uiPriority w:val="15"/>
    <w:qFormat/>
    <w:rsid w:val="00dc46ce"/>
    <w:rPr>
      <w:b/>
      <w:bCs/>
      <w:sz w:val="36"/>
      <w:szCs w:val="36"/>
    </w:rPr>
  </w:style>
  <w:style w:type="character" w:styleId="FormbodyChar" w:customStyle="1">
    <w:name w:val="Form body Char"/>
    <w:basedOn w:val="DefaultParagraphFont"/>
    <w:link w:val="Formbody"/>
    <w:uiPriority w:val="17"/>
    <w:qFormat/>
    <w:rsid w:val="00dc46ce"/>
    <w:rPr/>
  </w:style>
  <w:style w:type="character" w:styleId="TitleChar" w:customStyle="1">
    <w:name w:val="Title Char"/>
    <w:basedOn w:val="DefaultParagraphFont"/>
    <w:link w:val="Title"/>
    <w:uiPriority w:val="12"/>
    <w:qFormat/>
    <w:rsid w:val="003d4c4a"/>
    <w:rPr>
      <w:rFonts w:eastAsia="" w:cs="" w:cstheme="majorBidi" w:eastAsiaTheme="majorEastAsia"/>
      <w:b/>
      <w:bCs/>
      <w:sz w:val="56"/>
      <w:szCs w:val="48"/>
    </w:rPr>
  </w:style>
  <w:style w:type="character" w:styleId="Heading6Char" w:customStyle="1">
    <w:name w:val="Heading 6 Char"/>
    <w:basedOn w:val="DefaultParagraphFont"/>
    <w:link w:val="Heading6"/>
    <w:uiPriority w:val="9"/>
    <w:semiHidden/>
    <w:qFormat/>
    <w:rsid w:val="003d4c4a"/>
    <w:rPr>
      <w:caps/>
      <w:color w:themeColor="accent1" w:themeShade="bf" w:val="00737A"/>
      <w:spacing w:val="10"/>
    </w:rPr>
  </w:style>
  <w:style w:type="character" w:styleId="SubtitleChar" w:customStyle="1">
    <w:name w:val="Subtitle Char"/>
    <w:basedOn w:val="DefaultParagraphFont"/>
    <w:link w:val="Subtitle"/>
    <w:uiPriority w:val="11"/>
    <w:qFormat/>
    <w:rsid w:val="003d4c4a"/>
    <w:rPr>
      <w:caps/>
      <w:color w:themeColor="text1" w:themeTint="a6" w:val="858585"/>
      <w:spacing w:val="10"/>
      <w:sz w:val="21"/>
      <w:szCs w:val="21"/>
    </w:rPr>
  </w:style>
  <w:style w:type="character" w:styleId="Emphasis">
    <w:name w:val="Emphasis"/>
    <w:uiPriority w:val="20"/>
    <w:qFormat/>
    <w:rsid w:val="003d4c4a"/>
    <w:rPr>
      <w:caps/>
      <w:color w:themeColor="accent1" w:themeShade="7f" w:val="004D51"/>
      <w:spacing w:val="5"/>
    </w:rPr>
  </w:style>
  <w:style w:type="character" w:styleId="QuoteChar" w:customStyle="1">
    <w:name w:val="Quote Char"/>
    <w:basedOn w:val="DefaultParagraphFont"/>
    <w:link w:val="Quote"/>
    <w:uiPriority w:val="29"/>
    <w:qFormat/>
    <w:rsid w:val="003d4c4a"/>
    <w:rPr>
      <w:i/>
      <w:iCs/>
      <w:sz w:val="24"/>
      <w:szCs w:val="24"/>
    </w:rPr>
  </w:style>
  <w:style w:type="character" w:styleId="IntenseQuoteChar" w:customStyle="1">
    <w:name w:val="Intense Quote Char"/>
    <w:basedOn w:val="DefaultParagraphFont"/>
    <w:link w:val="IntenseQuote"/>
    <w:uiPriority w:val="30"/>
    <w:qFormat/>
    <w:rsid w:val="003d4c4a"/>
    <w:rPr>
      <w:color w:themeColor="accent1" w:val="009BA4"/>
      <w:sz w:val="24"/>
      <w:szCs w:val="24"/>
    </w:rPr>
  </w:style>
  <w:style w:type="character" w:styleId="SubtleEmphasis">
    <w:name w:val="Subtle Emphasis"/>
    <w:uiPriority w:val="19"/>
    <w:qFormat/>
    <w:rsid w:val="003d4c4a"/>
    <w:rPr>
      <w:i/>
      <w:iCs/>
      <w:color w:themeColor="accent1" w:themeShade="7f" w:val="004D51"/>
    </w:rPr>
  </w:style>
  <w:style w:type="character" w:styleId="IntenseEmphasis">
    <w:name w:val="Intense Emphasis"/>
    <w:uiPriority w:val="21"/>
    <w:qFormat/>
    <w:rsid w:val="003d4c4a"/>
    <w:rPr>
      <w:b/>
      <w:bCs/>
      <w:caps/>
      <w:color w:themeColor="accent1" w:themeShade="7f" w:val="004D51"/>
      <w:spacing w:val="10"/>
    </w:rPr>
  </w:style>
  <w:style w:type="character" w:styleId="SubtleReference">
    <w:name w:val="Subtle Reference"/>
    <w:uiPriority w:val="31"/>
    <w:qFormat/>
    <w:rsid w:val="003d4c4a"/>
    <w:rPr>
      <w:b/>
      <w:bCs/>
      <w:color w:themeColor="accent1" w:val="009BA4"/>
    </w:rPr>
  </w:style>
  <w:style w:type="character" w:styleId="IntenseReference">
    <w:name w:val="Intense Reference"/>
    <w:uiPriority w:val="32"/>
    <w:qFormat/>
    <w:rsid w:val="003d4c4a"/>
    <w:rPr>
      <w:b/>
      <w:bCs/>
      <w:i/>
      <w:iCs/>
      <w:caps/>
      <w:color w:themeColor="accent1" w:val="009BA4"/>
    </w:rPr>
  </w:style>
  <w:style w:type="character" w:styleId="BookTitle">
    <w:name w:val="Book Title"/>
    <w:uiPriority w:val="33"/>
    <w:qFormat/>
    <w:rsid w:val="003d4c4a"/>
    <w:rPr>
      <w:b/>
      <w:bCs/>
      <w:i/>
      <w:iCs/>
      <w:spacing w:val="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styleId="Index">
    <w:name w:val="Index"/>
    <w:basedOn w:val="Normal"/>
    <w:qFormat/>
    <w:pPr>
      <w:suppressLineNumbers/>
    </w:pPr>
    <w:rPr>
      <w:rFonts w:cs="FreeSans"/>
    </w:rPr>
  </w:style>
  <w:style w:type="paragraph" w:styleId="TOC1">
    <w:name w:val="TOC 1"/>
    <w:basedOn w:val="Normal"/>
    <w:next w:val="Normal"/>
    <w:autoRedefine/>
    <w:uiPriority w:val="39"/>
    <w:rsid w:val="0025147a"/>
    <w:pPr>
      <w:spacing w:before="120" w:after="0"/>
    </w:pPr>
    <w:rPr>
      <w:rFonts w:cs="Calibri" w:cstheme="minorHAnsi"/>
      <w:b/>
      <w:bCs/>
      <w:iCs/>
    </w:rPr>
  </w:style>
  <w:style w:type="paragraph" w:styleId="TOC2">
    <w:name w:val="TOC 2"/>
    <w:basedOn w:val="Normal"/>
    <w:next w:val="Normal"/>
    <w:autoRedefine/>
    <w:uiPriority w:val="39"/>
    <w:rsid w:val="0025147a"/>
    <w:pPr>
      <w:spacing w:before="120" w:after="0"/>
      <w:ind w:left="240"/>
    </w:pPr>
    <w:rPr>
      <w:rFonts w:cs="Calibri" w:cstheme="minorHAnsi"/>
      <w:b/>
      <w:bCs/>
      <w:sz w:val="22"/>
      <w:szCs w:val="22"/>
    </w:rPr>
  </w:style>
  <w:style w:type="paragraph" w:styleId="TOC3">
    <w:name w:val="TOC 3"/>
    <w:basedOn w:val="Normal"/>
    <w:next w:val="Normal"/>
    <w:autoRedefine/>
    <w:uiPriority w:val="39"/>
    <w:rsid w:val="0025147a"/>
    <w:pPr>
      <w:spacing w:before="0" w:after="0"/>
      <w:ind w:left="480"/>
    </w:pPr>
    <w:rPr>
      <w:rFonts w:cs="Calibri" w:cstheme="minorHAnsi"/>
      <w:sz w:val="20"/>
    </w:rPr>
  </w:style>
  <w:style w:type="paragraph" w:styleId="Bulletedlist" w:customStyle="1">
    <w:name w:val="Bulleted list"/>
    <w:basedOn w:val="ListParagraph"/>
    <w:link w:val="BulletedlistChar"/>
    <w:autoRedefine/>
    <w:uiPriority w:val="5"/>
    <w:qFormat/>
    <w:rsid w:val="00dc46ce"/>
    <w:pPr>
      <w:numPr>
        <w:ilvl w:val="0"/>
        <w:numId w:val="2"/>
      </w:numPr>
    </w:pPr>
    <w:rPr/>
  </w:style>
  <w:style w:type="paragraph" w:styleId="Bulletedlistheader" w:customStyle="1">
    <w:name w:val="Bulleted list header"/>
    <w:basedOn w:val="Normal"/>
    <w:link w:val="BulletedlistheaderChar"/>
    <w:autoRedefine/>
    <w:uiPriority w:val="24"/>
    <w:qFormat/>
    <w:rsid w:val="0025147a"/>
    <w:pPr>
      <w:spacing w:before="240" w:after="120"/>
    </w:pPr>
    <w:rPr>
      <w:rFonts w:cs="Calibri" w:cstheme="minorHAnsi"/>
      <w:b/>
      <w:iCs/>
      <w:color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2908a1"/>
    <w:pPr>
      <w:tabs>
        <w:tab w:val="clear" w:pos="720"/>
        <w:tab w:val="center" w:pos="4513" w:leader="none"/>
        <w:tab w:val="right" w:pos="9026" w:leader="none"/>
      </w:tabs>
      <w:spacing w:before="0" w:after="0"/>
    </w:pPr>
    <w:rPr/>
  </w:style>
  <w:style w:type="paragraph" w:styleId="Footer">
    <w:name w:val="Footer"/>
    <w:basedOn w:val="Normal"/>
    <w:link w:val="FooterChar"/>
    <w:uiPriority w:val="99"/>
    <w:unhideWhenUsed/>
    <w:rsid w:val="002908a1"/>
    <w:pPr>
      <w:tabs>
        <w:tab w:val="clear" w:pos="720"/>
        <w:tab w:val="center" w:pos="4513" w:leader="none"/>
        <w:tab w:val="right" w:pos="9026" w:leader="none"/>
      </w:tabs>
      <w:spacing w:before="0" w:after="0"/>
    </w:pPr>
    <w:rPr/>
  </w:style>
  <w:style w:type="paragraph" w:styleId="BalloonText">
    <w:name w:val="Balloon Text"/>
    <w:basedOn w:val="Normal"/>
    <w:link w:val="BalloonTextChar"/>
    <w:uiPriority w:val="99"/>
    <w:semiHidden/>
    <w:unhideWhenUsed/>
    <w:qFormat/>
    <w:rsid w:val="002908a1"/>
    <w:pPr/>
    <w:rPr>
      <w:rFonts w:ascii="Segoe UI" w:hAnsi="Segoe UI" w:cs="Segoe UI"/>
      <w:sz w:val="18"/>
      <w:szCs w:val="18"/>
    </w:rPr>
  </w:style>
  <w:style w:type="paragraph" w:styleId="NoSpacing">
    <w:name w:val="No Spacing"/>
    <w:link w:val="NoSpacingChar"/>
    <w:uiPriority w:val="1"/>
    <w:qFormat/>
    <w:rsid w:val="003d4c4a"/>
    <w:pPr>
      <w:widowControl/>
      <w:suppressAutoHyphens w:val="true"/>
      <w:bidi w:val="0"/>
      <w:spacing w:lineRule="auto" w:line="240" w:before="0" w:after="0"/>
      <w:jc w:val="left"/>
    </w:pPr>
    <w:rPr>
      <w:rFonts w:ascii="Calibri" w:hAnsi="Calibri" w:eastAsia="Times New Roman" w:cs="Times New Roman" w:asciiTheme="minorHAnsi" w:hAnsiTheme="minorHAnsi"/>
      <w:color w:val="444444"/>
      <w:kern w:val="0"/>
      <w:sz w:val="24"/>
      <w:szCs w:val="24"/>
      <w:lang w:val="en-GB" w:eastAsia="en-US" w:bidi="ar-SA"/>
    </w:rPr>
  </w:style>
  <w:style w:type="paragraph" w:styleId="ListParagraph">
    <w:name w:val="List Paragraph"/>
    <w:basedOn w:val="Normal"/>
    <w:uiPriority w:val="34"/>
    <w:qFormat/>
    <w:rsid w:val="0025147a"/>
    <w:pPr>
      <w:spacing w:before="240" w:after="24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3d4c4a"/>
    <w:pPr>
      <w:numPr>
        <w:ilvl w:val="0"/>
        <w:numId w:val="3"/>
      </w:numPr>
      <w:outlineLvl w:val="9"/>
    </w:pPr>
    <w:rPr/>
  </w:style>
  <w:style w:type="paragraph" w:styleId="TOC4">
    <w:name w:val="TOC 4"/>
    <w:basedOn w:val="Normal"/>
    <w:next w:val="Normal"/>
    <w:autoRedefine/>
    <w:uiPriority w:val="39"/>
    <w:unhideWhenUsed/>
    <w:rsid w:val="00b10e7a"/>
    <w:pPr>
      <w:spacing w:before="0" w:after="0"/>
      <w:ind w:left="720"/>
    </w:pPr>
    <w:rPr>
      <w:rFonts w:cs="Calibri" w:cstheme="minorHAnsi"/>
      <w:sz w:val="20"/>
    </w:rPr>
  </w:style>
  <w:style w:type="paragraph" w:styleId="TOC5">
    <w:name w:val="TOC 5"/>
    <w:basedOn w:val="Normal"/>
    <w:next w:val="Normal"/>
    <w:autoRedefine/>
    <w:uiPriority w:val="39"/>
    <w:unhideWhenUsed/>
    <w:rsid w:val="00b10e7a"/>
    <w:pPr>
      <w:spacing w:before="0" w:after="0"/>
      <w:ind w:left="960"/>
    </w:pPr>
    <w:rPr>
      <w:rFonts w:cs="Calibri" w:cstheme="minorHAnsi"/>
      <w:sz w:val="20"/>
    </w:rPr>
  </w:style>
  <w:style w:type="paragraph" w:styleId="TOC6">
    <w:name w:val="TOC 6"/>
    <w:basedOn w:val="Normal"/>
    <w:next w:val="Normal"/>
    <w:autoRedefine/>
    <w:uiPriority w:val="39"/>
    <w:unhideWhenUsed/>
    <w:rsid w:val="00b10e7a"/>
    <w:pPr>
      <w:spacing w:before="0" w:after="0"/>
      <w:ind w:left="1200"/>
    </w:pPr>
    <w:rPr>
      <w:rFonts w:cs="Calibri" w:cstheme="minorHAnsi"/>
      <w:sz w:val="20"/>
    </w:rPr>
  </w:style>
  <w:style w:type="paragraph" w:styleId="TOC7">
    <w:name w:val="TOC 7"/>
    <w:basedOn w:val="Normal"/>
    <w:next w:val="Normal"/>
    <w:autoRedefine/>
    <w:uiPriority w:val="39"/>
    <w:unhideWhenUsed/>
    <w:rsid w:val="00b10e7a"/>
    <w:pPr>
      <w:spacing w:before="0" w:after="0"/>
      <w:ind w:left="1440"/>
    </w:pPr>
    <w:rPr>
      <w:rFonts w:cs="Calibri" w:cstheme="minorHAnsi"/>
      <w:sz w:val="20"/>
    </w:rPr>
  </w:style>
  <w:style w:type="paragraph" w:styleId="TOC8">
    <w:name w:val="TOC 8"/>
    <w:basedOn w:val="Normal"/>
    <w:next w:val="Normal"/>
    <w:autoRedefine/>
    <w:uiPriority w:val="39"/>
    <w:unhideWhenUsed/>
    <w:rsid w:val="00b10e7a"/>
    <w:pPr>
      <w:spacing w:before="0" w:after="0"/>
      <w:ind w:left="1680"/>
    </w:pPr>
    <w:rPr>
      <w:rFonts w:cs="Calibri" w:cstheme="minorHAnsi"/>
      <w:sz w:val="20"/>
    </w:rPr>
  </w:style>
  <w:style w:type="paragraph" w:styleId="TOC9">
    <w:name w:val="TOC 9"/>
    <w:basedOn w:val="Normal"/>
    <w:next w:val="Normal"/>
    <w:autoRedefine/>
    <w:uiPriority w:val="39"/>
    <w:unhideWhenUsed/>
    <w:rsid w:val="00b10e7a"/>
    <w:pPr>
      <w:spacing w:before="0" w:after="0"/>
      <w:ind w:left="1920"/>
    </w:pPr>
    <w:rPr>
      <w:rFonts w:cs="Calibri" w:cstheme="minorHAnsi"/>
      <w:sz w:val="20"/>
    </w:rPr>
  </w:style>
  <w:style w:type="paragraph" w:styleId="Default" w:customStyle="1">
    <w:name w:val="Default"/>
    <w:uiPriority w:val="21"/>
    <w:qFormat/>
    <w:rsid w:val="0042666b"/>
    <w:pPr>
      <w:widowControl/>
      <w:suppressAutoHyphens w:val="true"/>
      <w:bidi w:val="0"/>
      <w:spacing w:lineRule="auto" w:line="240" w:before="0" w:after="0"/>
      <w:jc w:val="left"/>
    </w:pPr>
    <w:rPr>
      <w:rFonts w:ascii="Calibri" w:hAnsi="Calibri" w:eastAsia="Calibri" w:cs="Calibri"/>
      <w:color w:val="000000"/>
      <w:kern w:val="0"/>
      <w:sz w:val="24"/>
      <w:szCs w:val="24"/>
      <w:lang w:val="en-GB" w:eastAsia="en-GB" w:bidi="ar-SA"/>
    </w:rPr>
  </w:style>
  <w:style w:type="paragraph" w:styleId="TableBody" w:customStyle="1">
    <w:name w:val="Table Body"/>
    <w:basedOn w:val="Normal"/>
    <w:link w:val="TableBodyChar"/>
    <w:uiPriority w:val="7"/>
    <w:qFormat/>
    <w:rsid w:val="00dc46ce"/>
    <w:pPr>
      <w:spacing w:before="0" w:after="0"/>
    </w:pPr>
    <w:rPr>
      <w:color w:themeColor="text1" w:val="444444"/>
      <w:sz w:val="20"/>
    </w:rPr>
  </w:style>
  <w:style w:type="paragraph" w:styleId="TableContents">
    <w:name w:val="Table Contents"/>
    <w:basedOn w:val="Normal"/>
    <w:qFormat/>
    <w:pPr/>
    <w:rPr/>
  </w:style>
  <w:style w:type="paragraph" w:styleId="TableHeading" w:customStyle="1">
    <w:name w:val="Table Heading"/>
    <w:basedOn w:val="TableBody"/>
    <w:link w:val="TableHeadingChar"/>
    <w:uiPriority w:val="6"/>
    <w:qFormat/>
    <w:rsid w:val="00dc46ce"/>
    <w:pPr>
      <w:spacing w:before="40" w:after="40"/>
    </w:pPr>
    <w:rPr>
      <w:b/>
      <w:bCs/>
      <w:color w:themeColor="background1" w:val="FFFFFF"/>
    </w:rPr>
  </w:style>
  <w:style w:type="paragraph" w:styleId="TableofFigures">
    <w:name w:val="Table of Figures"/>
    <w:basedOn w:val="Normal"/>
    <w:next w:val="Normal"/>
    <w:uiPriority w:val="99"/>
    <w:unhideWhenUsed/>
    <w:rsid w:val="00c76971"/>
    <w:pPr>
      <w:spacing w:before="0" w:after="0"/>
    </w:pPr>
    <w:rPr>
      <w:rFonts w:cs="Calibri" w:cstheme="minorHAnsi"/>
      <w:b/>
      <w:iCs/>
      <w:sz w:val="22"/>
    </w:rPr>
  </w:style>
  <w:style w:type="paragraph" w:styleId="TitleWhite" w:customStyle="1">
    <w:name w:val="Title (White)"/>
    <w:basedOn w:val="Normal"/>
    <w:link w:val="TitleWhiteChar"/>
    <w:uiPriority w:val="11"/>
    <w:qFormat/>
    <w:rsid w:val="00dc46ce"/>
    <w:pPr/>
    <w:rPr>
      <w:b/>
      <w:bCs/>
      <w:color w:themeColor="background1" w:val="FFFFFF"/>
      <w:sz w:val="56"/>
      <w:szCs w:val="48"/>
    </w:rPr>
  </w:style>
  <w:style w:type="paragraph" w:styleId="TitleBlack" w:customStyle="1">
    <w:name w:val="Title (Black)"/>
    <w:basedOn w:val="Normal"/>
    <w:link w:val="TitleBlackChar"/>
    <w:uiPriority w:val="12"/>
    <w:qFormat/>
    <w:rsid w:val="00dc46ce"/>
    <w:pPr/>
    <w:rPr>
      <w:b/>
      <w:bCs/>
      <w:sz w:val="56"/>
      <w:szCs w:val="48"/>
    </w:rPr>
  </w:style>
  <w:style w:type="paragraph" w:styleId="HeadingX" w:customStyle="1">
    <w:name w:val="Heading X"/>
    <w:basedOn w:val="Normal"/>
    <w:link w:val="HeadingXChar"/>
    <w:uiPriority w:val="9"/>
    <w:qFormat/>
    <w:rsid w:val="00dc46ce"/>
    <w:pPr/>
    <w:rPr>
      <w:color w:themeColor="text2" w:val="009BA4"/>
      <w:sz w:val="36"/>
      <w:szCs w:val="28"/>
    </w:rPr>
  </w:style>
  <w:style w:type="paragraph" w:styleId="HeadingY" w:customStyle="1">
    <w:name w:val="Heading Y"/>
    <w:basedOn w:val="Normal"/>
    <w:link w:val="HeadingYChar"/>
    <w:uiPriority w:val="10"/>
    <w:qFormat/>
    <w:rsid w:val="00dc46ce"/>
    <w:pPr/>
    <w:rPr>
      <w:color w:themeColor="text2" w:val="009BA4"/>
      <w:sz w:val="32"/>
    </w:rPr>
  </w:style>
  <w:style w:type="paragraph" w:styleId="TitlePageBlack" w:customStyle="1">
    <w:name w:val="Title Page (Black)"/>
    <w:basedOn w:val="TitleBlack"/>
    <w:link w:val="TitlePageBlackChar"/>
    <w:uiPriority w:val="35"/>
    <w:qFormat/>
    <w:rsid w:val="00dd47bf"/>
    <w:pPr/>
    <w:rPr/>
  </w:style>
  <w:style w:type="paragraph" w:styleId="ToolkitName" w:customStyle="1">
    <w:name w:val="Toolkit Name"/>
    <w:basedOn w:val="Normal"/>
    <w:link w:val="ToolkitNameChar"/>
    <w:uiPriority w:val="13"/>
    <w:qFormat/>
    <w:rsid w:val="00dc46ce"/>
    <w:pPr>
      <w:jc w:val="right"/>
    </w:pPr>
    <w:rPr>
      <w:rFonts w:ascii="Calibri Light" w:hAnsi="Calibri Light" w:cs="Calibri Light" w:asciiTheme="majorHAnsi" w:cstheme="majorHAnsi" w:hAnsiTheme="majorHAnsi"/>
      <w:b/>
      <w:bCs/>
      <w:color w:themeColor="background1" w:val="FFFFFF"/>
      <w:sz w:val="36"/>
      <w:szCs w:val="36"/>
    </w:rPr>
  </w:style>
  <w:style w:type="paragraph" w:styleId="TitlePageTableHeader" w:customStyle="1">
    <w:name w:val="Title Page Table Header"/>
    <w:basedOn w:val="TableHeading"/>
    <w:link w:val="TitlePageTableHeaderChar"/>
    <w:uiPriority w:val="8"/>
    <w:qFormat/>
    <w:rsid w:val="00df7d15"/>
    <w:pPr/>
    <w:rPr/>
  </w:style>
  <w:style w:type="paragraph" w:styleId="Formheader" w:customStyle="1">
    <w:name w:val="Form header"/>
    <w:basedOn w:val="Normal"/>
    <w:link w:val="FormheaderChar"/>
    <w:uiPriority w:val="16"/>
    <w:qFormat/>
    <w:rsid w:val="00dc46ce"/>
    <w:pPr>
      <w:spacing w:before="60" w:after="60"/>
    </w:pPr>
    <w:rPr>
      <w:b/>
      <w:bCs/>
    </w:rPr>
  </w:style>
  <w:style w:type="paragraph" w:styleId="Formtitle" w:customStyle="1">
    <w:name w:val="Form title"/>
    <w:basedOn w:val="Normal"/>
    <w:link w:val="FormtitleChar"/>
    <w:uiPriority w:val="15"/>
    <w:qFormat/>
    <w:rsid w:val="00dc46ce"/>
    <w:pPr>
      <w:jc w:val="right"/>
    </w:pPr>
    <w:rPr>
      <w:b/>
      <w:bCs/>
      <w:sz w:val="36"/>
      <w:szCs w:val="36"/>
    </w:rPr>
  </w:style>
  <w:style w:type="paragraph" w:styleId="Formbody" w:customStyle="1">
    <w:name w:val="Form body"/>
    <w:basedOn w:val="Normal"/>
    <w:link w:val="FormbodyChar"/>
    <w:uiPriority w:val="17"/>
    <w:qFormat/>
    <w:rsid w:val="00dc46ce"/>
    <w:pPr>
      <w:spacing w:before="60" w:after="60"/>
    </w:pPr>
    <w:rPr/>
  </w:style>
  <w:style w:type="paragraph" w:styleId="Title">
    <w:name w:val="Title"/>
    <w:basedOn w:val="Normal"/>
    <w:link w:val="TitleChar"/>
    <w:uiPriority w:val="12"/>
    <w:qFormat/>
    <w:rsid w:val="003d4c4a"/>
    <w:pPr/>
    <w:rPr>
      <w:rFonts w:ascii="Aptos" w:hAnsi="Aptos" w:eastAsia="" w:cs="" w:cstheme="majorBidi" w:eastAsiaTheme="majorEastAsia"/>
      <w:b/>
      <w:bCs/>
      <w:sz w:val="56"/>
      <w:szCs w:val="48"/>
    </w:rPr>
  </w:style>
  <w:style w:type="paragraph" w:styleId="Subtitle">
    <w:name w:val="Subtitle"/>
    <w:basedOn w:val="Normal"/>
    <w:next w:val="Normal"/>
    <w:link w:val="SubtitleChar"/>
    <w:uiPriority w:val="11"/>
    <w:qFormat/>
    <w:rsid w:val="003d4c4a"/>
    <w:pPr>
      <w:spacing w:before="0" w:after="500"/>
    </w:pPr>
    <w:rPr>
      <w:caps/>
      <w:color w:themeColor="text1" w:themeTint="a6" w:val="858585"/>
      <w:spacing w:val="10"/>
      <w:sz w:val="21"/>
      <w:szCs w:val="21"/>
    </w:rPr>
  </w:style>
  <w:style w:type="paragraph" w:styleId="Quote">
    <w:name w:val="Quote"/>
    <w:basedOn w:val="Normal"/>
    <w:next w:val="Normal"/>
    <w:link w:val="QuoteChar"/>
    <w:uiPriority w:val="29"/>
    <w:qFormat/>
    <w:rsid w:val="003d4c4a"/>
    <w:pPr/>
    <w:rPr>
      <w:i/>
      <w:iCs/>
    </w:rPr>
  </w:style>
  <w:style w:type="paragraph" w:styleId="IntenseQuote">
    <w:name w:val="Intense Quote"/>
    <w:basedOn w:val="Normal"/>
    <w:next w:val="Normal"/>
    <w:link w:val="IntenseQuoteChar"/>
    <w:uiPriority w:val="30"/>
    <w:qFormat/>
    <w:rsid w:val="003d4c4a"/>
    <w:pPr>
      <w:ind w:left="1080" w:right="1080"/>
      <w:jc w:val="center"/>
    </w:pPr>
    <w:rPr>
      <w:color w:themeColor="accent1" w:val="009BA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08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lAfaqtables">
    <w:name w:val="Al-Afaq tables"/>
    <w:basedOn w:val="TableNormal"/>
    <w:uiPriority w:val="99"/>
    <w:rsid w:val="00612402"/>
    <w:pPr>
      <w:spacing w:after="0" w:line="240" w:lineRule="auto"/>
    </w:pPr>
  </w:style>
  <w:style w:type="table" w:styleId="TableGridLight">
    <w:name w:val="Grid Table Light"/>
    <w:basedOn w:val="TableNormal"/>
    <w:uiPriority w:val="40"/>
    <w:rsid w:val="00612402"/>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color="A1A1A1" w:themeColor="text1" w:themeTint="80" w:sz="4" w:space="0"/>
        <w:bottom w:val="single" w:color="A1A1A1" w:themeColor="text1" w:themeTint="80" w:sz="4" w:space="0"/>
      </w:tblBorders>
    </w:tblPr>
    <w:tblStylePr w:type="firstRow">
      <w:rPr>
        <w:b/>
        <w:bCs/>
      </w:rPr>
      <w:tblPr/>
      <w:tcPr>
        <w:tcBorders>
          <w:bottom w:val="single" w:color="A1A1A1" w:themeColor="text1" w:sz="4" w:space="0"/>
        </w:tcBorders>
      </w:tcPr>
    </w:tblStylePr>
    <w:tblStylePr w:type="lastRow">
      <w:rPr>
        <w:b/>
        <w:bCs/>
      </w:rPr>
      <w:tblPr/>
      <w:tcPr>
        <w:tcBorders>
          <w:top w:val="single" w:color="A1A1A1" w:themeColor="text1" w:sz="4" w:space="0"/>
        </w:tcBorders>
      </w:tcPr>
    </w:tblStylePr>
    <w:tblStylePr w:type="firstCol">
      <w:rPr>
        <w:b/>
        <w:bCs/>
      </w:rPr>
      <w:tblPr/>
    </w:tblStylePr>
    <w:tblStylePr w:type="lastCol">
      <w:rPr>
        <w:b/>
        <w:bCs/>
      </w:rPr>
      <w:tblPr/>
    </w:tblStylePr>
    <w:tblStylePr w:type="band1Vert">
      <w:tblPr/>
      <w:tcPr>
        <w:tcBorders>
          <w:left w:val="single" w:color="A1A1A1" w:themeColor="text1" w:sz="4" w:space="0"/>
          <w:right w:val="single" w:color="A1A1A1" w:themeColor="text1" w:sz="4" w:space="0"/>
        </w:tcBorders>
      </w:tcPr>
    </w:tblStylePr>
    <w:tblStylePr w:type="band2Vert">
      <w:tblPr/>
      <w:tcPr>
        <w:tcBorders>
          <w:left w:val="single" w:color="A1A1A1" w:themeColor="text1" w:sz="4" w:space="0"/>
          <w:right w:val="single" w:color="A1A1A1" w:themeColor="text1" w:sz="4" w:space="0"/>
        </w:tcBorders>
      </w:tcPr>
    </w:tblStylePr>
    <w:tblStylePr w:type="band1Horz">
      <w:tblPr/>
      <w:tcPr>
        <w:tcBorders>
          <w:top w:val="single" w:color="A1A1A1" w:themeColor="text1" w:sz="4" w:space="0"/>
          <w:bottom w:val="single" w:color="A1A1A1"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B3EE83BE804F4A910B4607B2C10664"/>
        <w:category>
          <w:name w:val="General"/>
          <w:gallery w:val="placeholder"/>
        </w:category>
        <w:types>
          <w:type w:val="bbPlcHdr"/>
        </w:types>
        <w:behaviors>
          <w:behavior w:val="content"/>
        </w:behaviors>
        <w:guid w:val="{D919730D-1C4C-4D5C-AB13-173AD103E3F6}"/>
      </w:docPartPr>
      <w:docPartBody>
        <w:p w:rsidR="002E4733" w:rsidRDefault="00872597" w:rsidP="00872597">
          <w:pPr>
            <w:pStyle w:val="69B3EE83BE804F4A910B4607B2C10664"/>
          </w:pPr>
          <w:r w:rsidRPr="00362E47">
            <w:rPr>
              <w:rStyle w:val="PlaceholderText"/>
            </w:rPr>
            <w:t>Click or tap here to enter text.</w:t>
          </w:r>
        </w:p>
      </w:docPartBody>
    </w:docPart>
    <w:docPart>
      <w:docPartPr>
        <w:name w:val="C282252358634616873F327B7EB713A9"/>
        <w:category>
          <w:name w:val="General"/>
          <w:gallery w:val="placeholder"/>
        </w:category>
        <w:types>
          <w:type w:val="bbPlcHdr"/>
        </w:types>
        <w:behaviors>
          <w:behavior w:val="content"/>
        </w:behaviors>
        <w:guid w:val="{713E7B46-8D91-4114-BF06-FA5268C93B2C}"/>
      </w:docPartPr>
      <w:docPartBody>
        <w:p w:rsidR="002E4733" w:rsidRDefault="00872597" w:rsidP="00872597">
          <w:pPr>
            <w:pStyle w:val="C282252358634616873F327B7EB713A9"/>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E4733"/>
    <w:rsid w:val="002F186D"/>
    <w:rsid w:val="0033212A"/>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46105"/>
    <w:rsid w:val="00872597"/>
    <w:rsid w:val="0090547A"/>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10CB5"/>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2597"/>
    <w:rPr>
      <w:color w:val="808080"/>
    </w:rPr>
  </w:style>
  <w:style w:type="paragraph" w:customStyle="1" w:styleId="69B3EE83BE804F4A910B4607B2C10664">
    <w:name w:val="69B3EE83BE804F4A910B4607B2C10664"/>
    <w:rsid w:val="00872597"/>
  </w:style>
  <w:style w:type="paragraph" w:customStyle="1" w:styleId="C282252358634616873F327B7EB713A9">
    <w:name w:val="C282252358634616873F327B7EB713A9"/>
    <w:rsid w:val="00872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Al-Afaq Theme">
  <a:themeElements>
    <a:clrScheme name="Al-Afaq colours">
      <a:dk1>
        <a:srgbClr val="444444"/>
      </a:dk1>
      <a:lt1>
        <a:srgbClr val="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A7EB1988-11CB-4A8F-9DDA-EC041C4D4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1F0C07-FCD1-4001-973D-3EFB943F2373}">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Template>
  <TotalTime>1660</TotalTime>
  <Application>LibreOffice/24.2.7.2$Linux_X86_64 LibreOffice_project/420$Build-2</Application>
  <AppVersion>15.0000</AppVersion>
  <Pages>12</Pages>
  <Words>2745</Words>
  <Characters>17673</Characters>
  <CharactersWithSpaces>19929</CharactersWithSpaces>
  <Paragraphs>487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2019-07-31T13:20:00Z</dcterms:created>
  <dc:creator>Shiban Mohammed Ali Hussein Shiban</dc:creator>
  <dc:description/>
  <cp:keywords>ISO 27001 ISMS Risk Assessment Al-Afaq Digital Bank</cp:keywords>
  <dc:language>en-US</dc:language>
  <cp:lastModifiedBy/>
  <dcterms:modified xsi:type="dcterms:W3CDTF">2026-09-13T03:24:04Z</dcterms:modified>
  <cp:revision>886</cp:revision>
  <dc:subject>ISO/IEC 27001:2022 Information Security Risk Assessment</dc:subject>
  <dc:title>Al-Afaq Digital Bank - Information Security Risk Assessment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0x010100DA843292D49187418BD21D9C97EA6F65</vt:lpwstr>
  </property>
  <property fmtid="{D5CDD505-2E9C-101B-9397-08002B2CF9AE}" pid="4" name="MediaServiceImageTags">
    <vt:lpwstr/>
  </property>
  <property fmtid="{D5CDD505-2E9C-101B-9397-08002B2CF9AE}" pid="5" name="Order">
    <vt:r8>1274500</vt:r8>
  </property>
  <property fmtid="{D5CDD505-2E9C-101B-9397-08002B2CF9AE}" pid="6" name="Organization Name">
    <vt:lpwstr>[Organization Name]</vt:lpwstr>
  </property>
  <property fmtid="{D5CDD505-2E9C-101B-9397-08002B2CF9AE}" pid="7" name="TriggerFlowInfo">
    <vt:lpwstr/>
  </property>
  <property fmtid="{D5CDD505-2E9C-101B-9397-08002B2CF9AE}" pid="8" name="_ExtendedDescription">
    <vt:lpwstr/>
  </property>
</Properties>
</file>