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pPr>
      <w:r>
        <w:rPr/>
        <w:br w:type="textWrapping" w:clear="all"/>
      </w:r>
    </w:p>
    <w:p>
      <w:pPr>
        <w:pStyle w:val="Title"/>
        <w:rPr>
          <w:color w:val="auto"/>
        </w:rPr>
      </w:pPr>
      <w:r>
        <w:rPr>
          <w:rFonts w:ascii="Aptos" w:hAnsi="Aptos"/>
          <w:sz w:val="20"/>
        </w:rPr>
        <w:t>Security Risk Assessment &amp; Treatment Methodology</w:t>
      </w:r>
    </w:p>
    <w:p>
      <w:pPr>
        <w:pStyle w:val="Normal"/>
        <w:rPr/>
      </w:pPr>
      <w:r>
        <w:rPr/>
      </w:r>
    </w:p>
    <w:p>
      <w:pPr>
        <w:pStyle w:val="Normal"/>
        <w:rPr>
          <w:b/>
          <w:bCs/>
          <w:sz w:val="24"/>
          <w:szCs w:val="24"/>
        </w:rPr>
      </w:pPr>
      <w:r>
        <w:rPr>
          <w:sz w:val="20"/>
        </w:rPr>
        <w:t>Classification: Internal</w:t>
      </w:r>
    </w:p>
    <w:p>
      <w:pPr>
        <w:pStyle w:val="Normal"/>
        <w:rPr/>
      </w:pPr>
      <w:r>
        <w:rPr>
          <w:sz w:val="20"/>
        </w:rPr>
        <w:t xml:space="preserve">Document Author: </w:t>
      </w:r>
      <w:r>
        <w:rPr>
          <w:rFonts w:eastAsia="Times New Roman" w:cs="Times New Roman" w:ascii="Arial" w:hAnsi="Arial"/>
          <w:b w:val="false"/>
          <w:color w:val="444444"/>
          <w:kern w:val="0"/>
          <w:sz w:val="18"/>
          <w:szCs w:val="24"/>
          <w:lang w:val="en-GB" w:eastAsia="en-US" w:bidi="ar-SA"/>
        </w:rPr>
        <w:t xml:space="preserve">Shiban , </w:t>
      </w:r>
      <w:r>
        <w:rPr>
          <w:rFonts w:eastAsia="Times New Roman" w:cs="Times New Roman" w:ascii="Arial" w:hAnsi="Arial"/>
          <w:b w:val="false"/>
          <w:color w:val="444444"/>
          <w:kern w:val="0"/>
          <w:sz w:val="18"/>
          <w:szCs w:val="24"/>
          <w:lang w:val="en-GB" w:eastAsia="en-US" w:bidi="ar-SA"/>
        </w:rPr>
        <w:t>Eyad , Rayan ,Bashar and Alshreef</w:t>
      </w:r>
    </w:p>
    <w:p>
      <w:pPr>
        <w:pStyle w:val="Normal"/>
        <w:rPr/>
      </w:pPr>
      <w:r>
        <w:rPr>
          <w:sz w:val="20"/>
        </w:rPr>
        <w:t>Controlled document for the Al-Afaq Digital Bank ISMS.</w:t>
      </w:r>
    </w:p>
    <w:tbl>
      <w:tblPr>
        <w:tblStyle w:val="GridTable4-Accent4"/>
        <w:tblW w:w="9016" w:type="dxa"/>
        <w:jc w:val="center"/>
        <w:tblInd w:w="0" w:type="dxa"/>
        <w:tblLayout w:type="fixed"/>
        <w:tblCellMar>
          <w:top w:w="0" w:type="dxa"/>
          <w:left w:w="108" w:type="dxa"/>
          <w:bottom w:w="0" w:type="dxa"/>
          <w:right w:w="108" w:type="dxa"/>
        </w:tblCellMar>
        <w:tblLook w:val="06a0" w:noHBand="1" w:noVBand="1" w:firstColumn="1" w:lastRow="0" w:lastColumn="0" w:firstRow="1"/>
      </w:tblPr>
      <w:tblGrid>
        <w:gridCol w:w="914"/>
        <w:gridCol w:w="1129"/>
        <w:gridCol w:w="1234"/>
        <w:gridCol w:w="1157"/>
        <w:gridCol w:w="1410"/>
        <w:gridCol w:w="1263"/>
        <w:gridCol w:w="1908"/>
      </w:tblGrid>
      <w:tr>
        <w:trPr>
          <w:trHeight w:val="555" w:hRule="atLeast"/>
          <w:cnfStyle w:val="100000000000" w:firstRow="1" w:lastRow="0" w:firstColumn="0" w:lastColumn="0" w:oddVBand="0" w:evenVBand="0" w:oddHBand="0" w:evenHBand="0" w:firstRowFirstColumn="0" w:firstRowLastColumn="0" w:lastRowFirstColumn="0" w:lastRowLastColumn="0"/>
        </w:trPr>
        <w:tc>
          <w:tcPr>
            <w:tcW w:w="914" w:type="dxa"/>
            <w:cnfStyle w:val="001000000000" w:firstRow="0" w:lastRow="0" w:firstColumn="1"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shd w:color="auto" w:fill="0F9ED5" w:themeFill="accent4" w:val="clear"/>
          </w:tcPr>
          <w:p>
            <w:pPr>
              <w:pStyle w:val="Normal"/>
              <w:widowControl/>
              <w:spacing w:lineRule="auto" w:line="240" w:before="0" w:after="0"/>
              <w:jc w:val="left"/>
              <w:rPr>
                <w:rFonts w:ascii="Calibri" w:hAnsi="Calibri" w:eastAsia="Calibri" w:cs="Calibri"/>
              </w:rPr>
            </w:pPr>
            <w:r>
              <w:rPr>
                <w:rFonts w:eastAsia="Calibri" w:cs="Calibri"/>
                <w:b/>
                <w:bCs/>
                <w:color w:themeColor="background1" w:val="FFFFFF"/>
                <w:kern w:val="0"/>
                <w:sz w:val="18"/>
                <w:szCs w:val="22"/>
                <w:lang w:val="en-US" w:eastAsia="en-GB" w:bidi="ar-SA"/>
              </w:rPr>
              <w:t xml:space="preserve">Version </w:t>
            </w:r>
          </w:p>
        </w:tc>
        <w:tc>
          <w:tcPr>
            <w:tcW w:w="1129" w:type="dxa"/>
            <w:tcBorders>
              <w:top w:val="single" w:sz="4" w:space="0" w:color="FFFFFF"/>
              <w:left w:val="single" w:sz="4" w:space="0" w:color="FFFFFF"/>
              <w:bottom w:val="single" w:sz="4" w:space="0" w:color="FFFFFF"/>
              <w:right w:val="single" w:sz="4" w:space="0" w:color="FFFFFF"/>
            </w:tcBorders>
            <w:shd w:color="auto" w:fill="0F9ED5" w:themeFill="accent4" w:val="clea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false"/>
                <w:bCs w:val="false"/>
                <w:lang w:val="en-US"/>
              </w:rPr>
            </w:pPr>
            <w:r>
              <w:rPr>
                <w:rFonts w:eastAsia="Calibri" w:cs="Calibri"/>
                <w:b/>
                <w:bCs/>
                <w:color w:themeColor="background1" w:val="FFFFFF"/>
                <w:kern w:val="0"/>
                <w:sz w:val="18"/>
                <w:szCs w:val="22"/>
                <w:lang w:val="en-US" w:eastAsia="en-GB" w:bidi="ar-SA"/>
              </w:rPr>
              <w:t>Approved By</w:t>
            </w:r>
          </w:p>
        </w:tc>
        <w:tc>
          <w:tcPr>
            <w:tcW w:w="1234" w:type="dxa"/>
            <w:tcBorders>
              <w:top w:val="single" w:sz="4" w:space="0" w:color="FFFFFF"/>
              <w:left w:val="single" w:sz="4" w:space="0" w:color="FFFFFF"/>
              <w:bottom w:val="single" w:sz="4" w:space="0" w:color="FFFFFF"/>
              <w:right w:val="single" w:sz="4" w:space="0" w:color="FFFFFF"/>
            </w:tcBorders>
            <w:shd w:color="auto" w:fill="0F9ED5" w:themeFill="accent4" w:val="clea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Pr>
                <w:rFonts w:eastAsia="Calibri" w:cs="Calibri"/>
                <w:b/>
                <w:bCs/>
                <w:color w:themeColor="background1" w:val="FFFFFF"/>
                <w:kern w:val="0"/>
                <w:sz w:val="18"/>
                <w:szCs w:val="22"/>
                <w:lang w:val="en-US" w:eastAsia="en-GB" w:bidi="ar-SA"/>
              </w:rPr>
              <w:t>Owner</w:t>
            </w:r>
          </w:p>
        </w:tc>
        <w:tc>
          <w:tcPr>
            <w:tcW w:w="1157" w:type="dxa"/>
            <w:tcBorders>
              <w:top w:val="single" w:sz="4" w:space="0" w:color="FFFFFF"/>
              <w:left w:val="single" w:sz="4" w:space="0" w:color="FFFFFF"/>
              <w:bottom w:val="single" w:sz="4" w:space="0" w:color="FFFFFF"/>
              <w:right w:val="single" w:sz="4" w:space="0" w:color="FFFFFF"/>
            </w:tcBorders>
            <w:shd w:color="auto" w:fill="0F9ED5" w:themeFill="accent4" w:val="clea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Pr>
                <w:rFonts w:eastAsia="Calibri" w:cs="Calibri"/>
                <w:b/>
                <w:bCs/>
                <w:color w:themeColor="background1" w:val="FFFFFF"/>
                <w:kern w:val="0"/>
                <w:sz w:val="18"/>
                <w:szCs w:val="22"/>
                <w:lang w:val="en-US" w:eastAsia="en-GB" w:bidi="ar-SA"/>
              </w:rPr>
              <w:t>Date Last Updated</w:t>
            </w:r>
          </w:p>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Pr>
                <w:rFonts w:eastAsia="Calibri" w:cs="Calibri"/>
                <w:b/>
                <w:bCs/>
                <w:color w:themeColor="background1" w:val="FFFFFF"/>
                <w:kern w:val="0"/>
                <w:sz w:val="18"/>
                <w:szCs w:val="22"/>
                <w:lang w:val="en-US" w:eastAsia="en-GB" w:bidi="ar-SA"/>
              </w:rPr>
              <w:t xml:space="preserve"> </w:t>
            </w:r>
          </w:p>
        </w:tc>
        <w:tc>
          <w:tcPr>
            <w:tcW w:w="1410" w:type="dxa"/>
            <w:tcBorders>
              <w:top w:val="single" w:sz="4" w:space="0" w:color="FFFFFF"/>
              <w:left w:val="single" w:sz="4" w:space="0" w:color="FFFFFF"/>
              <w:bottom w:val="single" w:sz="4" w:space="0" w:color="FFFFFF"/>
              <w:right w:val="single" w:sz="4" w:space="0" w:color="FFFFFF"/>
            </w:tcBorders>
            <w:shd w:color="auto" w:fill="0F9ED5" w:themeFill="accent4" w:val="clea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Pr>
                <w:rFonts w:eastAsia="Calibri" w:cs="Calibri"/>
                <w:b/>
                <w:bCs/>
                <w:color w:themeColor="background1" w:val="FFFFFF"/>
                <w:kern w:val="0"/>
                <w:sz w:val="18"/>
                <w:szCs w:val="22"/>
                <w:lang w:val="en-US" w:eastAsia="en-GB" w:bidi="ar-SA"/>
              </w:rPr>
              <w:t>Review Frequency</w:t>
            </w:r>
          </w:p>
        </w:tc>
        <w:tc>
          <w:tcPr>
            <w:tcW w:w="1263" w:type="dxa"/>
            <w:tcBorders>
              <w:top w:val="single" w:sz="4" w:space="0" w:color="FFFFFF"/>
              <w:left w:val="single" w:sz="4" w:space="0" w:color="FFFFFF"/>
              <w:bottom w:val="single" w:sz="4" w:space="0" w:color="FFFFFF"/>
              <w:right w:val="single" w:sz="4" w:space="0" w:color="FFFFFF"/>
            </w:tcBorders>
            <w:shd w:color="auto" w:fill="0F9ED5" w:themeFill="accent4" w:val="clea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Calibri"/>
              </w:rPr>
            </w:pPr>
            <w:r>
              <w:rPr>
                <w:rFonts w:eastAsia="Calibri" w:cs="Calibri"/>
                <w:b/>
                <w:bCs/>
                <w:color w:themeColor="background1" w:val="FFFFFF"/>
                <w:kern w:val="0"/>
                <w:sz w:val="18"/>
                <w:szCs w:val="22"/>
                <w:lang w:val="en-US" w:eastAsia="en-GB" w:bidi="ar-SA"/>
              </w:rPr>
              <w:t xml:space="preserve">Next Review </w:t>
            </w:r>
          </w:p>
        </w:tc>
        <w:tc>
          <w:tcPr>
            <w:tcW w:w="1908" w:type="dxa"/>
            <w:tcBorders>
              <w:top w:val="single" w:sz="4" w:space="0" w:color="FFFFFF"/>
              <w:left w:val="single" w:sz="4" w:space="0" w:color="FFFFFF"/>
              <w:bottom w:val="single" w:sz="4" w:space="0" w:color="FFFFFF"/>
              <w:right w:val="single" w:sz="4" w:space="0" w:color="FFFFFF"/>
            </w:tcBorders>
            <w:shd w:color="auto" w:fill="0F9ED5" w:themeFill="accent4" w:val="clea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Calibri"/>
                <w:lang w:val="en-US"/>
              </w:rPr>
            </w:pPr>
            <w:r>
              <w:rPr>
                <w:rFonts w:eastAsia="Calibri" w:cs="Calibri"/>
                <w:b/>
                <w:bCs/>
                <w:color w:themeColor="background1" w:val="FFFFFF"/>
                <w:kern w:val="0"/>
                <w:sz w:val="18"/>
                <w:szCs w:val="22"/>
                <w:lang w:val="en-US" w:eastAsia="en-GB" w:bidi="ar-SA"/>
              </w:rPr>
              <w:t>Comments</w:t>
            </w:r>
          </w:p>
        </w:tc>
      </w:tr>
      <w:tr>
        <w:trPr>
          <w:trHeight w:val="915" w:hRule="atLeast"/>
        </w:trPr>
        <w:tc>
          <w:tcPr>
            <w:tcW w:w="914" w:type="dxa"/>
            <w:cnfStyle w:val="001000000000" w:firstRow="0" w:lastRow="0" w:firstColumn="1" w:lastColumn="0" w:oddVBand="0" w:evenVBand="0" w:oddHBand="0" w:evenHBand="0" w:firstRowFirstColumn="0" w:firstRowLastColumn="0" w:lastRowFirstColumn="0" w:lastRowLastColumn="0"/>
            <w:tcBorders>
              <w:top w:val="single" w:sz="4" w:space="0" w:color="FFFFFF"/>
            </w:tcBorders>
            <w:vAlign w:val="center"/>
          </w:tcPr>
          <w:p>
            <w:pPr>
              <w:pStyle w:val="Normal"/>
              <w:widowControl/>
              <w:spacing w:lineRule="auto" w:line="240" w:before="0" w:after="0"/>
              <w:jc w:val="left"/>
              <w:rPr>
                <w:rFonts w:ascii="Aptos" w:hAnsi="Aptos" w:eastAsia="" w:cs=""/>
                <w:b/>
                <w:bCs/>
                <w:kern w:val="0"/>
                <w:sz w:val="22"/>
                <w:szCs w:val="22"/>
                <w:lang w:val="en-GB" w:eastAsia="en-GB" w:bidi="ar-SA"/>
              </w:rPr>
            </w:pPr>
            <w:r>
              <w:rPr>
                <w:rFonts w:eastAsia="" w:cs=""/>
                <w:b w:val="false"/>
                <w:bCs/>
                <w:kern w:val="0"/>
                <w:sz w:val="18"/>
                <w:szCs w:val="22"/>
                <w:lang w:val="en-GB" w:eastAsia="en-GB" w:bidi="ar-SA"/>
              </w:rPr>
              <w:t>1.0</w:t>
            </w:r>
          </w:p>
        </w:tc>
        <w:tc>
          <w:tcPr>
            <w:tcW w:w="1129" w:type="dxa"/>
            <w:tcBorders>
              <w:top w:val="single" w:sz="4" w:space="0" w:color="FFFFFF"/>
            </w:tcBorders>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Sarah Al-Harbi, Chief Information Security Officer</w:t>
            </w:r>
          </w:p>
        </w:tc>
        <w:tc>
          <w:tcPr>
            <w:tcW w:w="1234" w:type="dxa"/>
            <w:tcBorders>
              <w:top w:val="single" w:sz="4" w:space="0" w:color="FFFFFF"/>
            </w:tcBorders>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Information Security Management</w:t>
            </w:r>
          </w:p>
        </w:tc>
        <w:tc>
          <w:tcPr>
            <w:tcW w:w="1157" w:type="dxa"/>
            <w:tcBorders>
              <w:top w:val="single" w:sz="4" w:space="0" w:color="FFFFFF"/>
            </w:tcBorders>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13 September 2026</w:t>
            </w:r>
          </w:p>
        </w:tc>
        <w:tc>
          <w:tcPr>
            <w:tcW w:w="1410" w:type="dxa"/>
            <w:tcBorders>
              <w:top w:val="single" w:sz="4" w:space="0" w:color="FFFFFF"/>
            </w:tcBorders>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Annual and upon significant change</w:t>
            </w:r>
          </w:p>
        </w:tc>
        <w:tc>
          <w:tcPr>
            <w:tcW w:w="1263" w:type="dxa"/>
            <w:tcBorders>
              <w:top w:val="single" w:sz="4" w:space="0" w:color="FFFFFF"/>
            </w:tcBorders>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13 September 2027</w:t>
            </w:r>
          </w:p>
        </w:tc>
        <w:tc>
          <w:tcPr>
            <w:tcW w:w="1908" w:type="dxa"/>
            <w:tcBorders>
              <w:top w:val="single" w:sz="4" w:space="0" w:color="FFFFFF"/>
            </w:tcBorders>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Approved academic ISMS project document</w:t>
            </w:r>
          </w:p>
        </w:tc>
      </w:tr>
    </w:tbl>
    <w:p>
      <w:pPr>
        <w:pStyle w:val="Normal"/>
        <w:rPr/>
      </w:pPr>
      <w:r>
        <w:rPr/>
      </w:r>
    </w:p>
    <w:p>
      <w:pPr>
        <w:pStyle w:val="Normal"/>
        <w:keepNext w:val="true"/>
        <w:keepLines/>
        <w:pBdr/>
        <w:spacing w:before="240" w:after="0"/>
        <w:rPr>
          <w:rFonts w:ascii="Calibri" w:hAnsi="Calibri" w:eastAsia="Calibri" w:cs="Calibri"/>
          <w:sz w:val="32"/>
          <w:szCs w:val="32"/>
        </w:rPr>
      </w:pPr>
      <w:r>
        <w:rPr>
          <w:sz w:val="28"/>
          <w:szCs w:val="28"/>
        </w:rPr>
        <w:t>Contents</w:t>
      </w:r>
    </w:p>
    <w:sdt>
      <w:sdtPr>
        <w:docPartObj>
          <w:docPartGallery w:val="Table of Contents"/>
          <w:docPartUnique w:val="true"/>
        </w:docPartObj>
      </w:sdtPr>
      <w:sdtContent>
        <w:p>
          <w:pPr>
            <w:pStyle w:val="TOC1"/>
            <w:tabs>
              <w:tab w:val="clear" w:pos="720"/>
              <w:tab w:val="right" w:pos="9016" w:leader="dot"/>
            </w:tabs>
            <w:rPr>
              <w:kern w:val="2"/>
              <w:sz w:val="24"/>
              <w:szCs w:val="24"/>
              <w14:ligatures w14:val="standardContextual"/>
            </w:rPr>
          </w:pPr>
          <w:r>
            <w:fldChar w:fldCharType="begin"/>
          </w:r>
          <w:r>
            <w:rPr>
              <w:webHidden/>
              <w:rStyle w:val="IndexLink"/>
            </w:rPr>
            <w:instrText xml:space="preserve"> TOC \z \o "1-9" \u \t "Heading 1,1,Heading 2,2,Heading 3,3" \h</w:instrText>
          </w:r>
          <w:r>
            <w:rPr>
              <w:webHidden/>
              <w:rStyle w:val="IndexLink"/>
            </w:rPr>
            <w:fldChar w:fldCharType="separate"/>
          </w:r>
          <w:hyperlink w:anchor="_Toc168605547">
            <w:r>
              <w:rPr>
                <w:webHidden/>
                <w:rStyle w:val="IndexLink"/>
              </w:rPr>
              <w:t>Purpose of This Document</w:t>
            </w:r>
            <w:r>
              <w:rPr>
                <w:webHidden/>
              </w:rPr>
              <w:fldChar w:fldCharType="begin"/>
            </w:r>
            <w:r>
              <w:rPr>
                <w:webHidden/>
              </w:rPr>
              <w:instrText xml:space="preserve">PAGEREF _Toc168605547 \h</w:instrText>
            </w:r>
            <w:r>
              <w:rPr>
                <w:webHidden/>
              </w:rPr>
              <w:fldChar w:fldCharType="separate"/>
            </w:r>
            <w:r>
              <w:rPr>
                <w:rStyle w:val="IndexLink"/>
                <w:vanish w:val="false"/>
              </w:rPr>
              <w:tab/>
              <w:t>1</w:t>
            </w:r>
            <w:r>
              <w:rPr>
                <w:webHidden/>
              </w:rPr>
              <w:fldChar w:fldCharType="end"/>
            </w:r>
          </w:hyperlink>
        </w:p>
        <w:p>
          <w:pPr>
            <w:pStyle w:val="TOC1"/>
            <w:tabs>
              <w:tab w:val="clear" w:pos="720"/>
              <w:tab w:val="right" w:pos="9016" w:leader="dot"/>
            </w:tabs>
            <w:rPr>
              <w:kern w:val="2"/>
              <w:sz w:val="24"/>
              <w:szCs w:val="24"/>
              <w14:ligatures w14:val="standardContextual"/>
            </w:rPr>
          </w:pPr>
          <w:hyperlink w:anchor="_Toc168605548">
            <w:r>
              <w:rPr>
                <w:webHidden/>
                <w:rStyle w:val="IndexLink"/>
              </w:rPr>
              <w:t>The Risk Log</w:t>
            </w:r>
            <w:r>
              <w:rPr>
                <w:webHidden/>
              </w:rPr>
              <w:fldChar w:fldCharType="begin"/>
            </w:r>
            <w:r>
              <w:rPr>
                <w:webHidden/>
              </w:rPr>
              <w:instrText xml:space="preserve">PAGEREF _Toc168605548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016" w:leader="dot"/>
            </w:tabs>
            <w:rPr>
              <w:kern w:val="2"/>
              <w:sz w:val="24"/>
              <w:szCs w:val="24"/>
              <w14:ligatures w14:val="standardContextual"/>
            </w:rPr>
          </w:pPr>
          <w:hyperlink w:anchor="_Toc168605549">
            <w:r>
              <w:rPr>
                <w:webHidden/>
                <w:rStyle w:val="IndexLink"/>
              </w:rPr>
              <w:t>Roles &amp; Responsibilities</w:t>
            </w:r>
            <w:r>
              <w:rPr>
                <w:webHidden/>
              </w:rPr>
              <w:fldChar w:fldCharType="begin"/>
            </w:r>
            <w:r>
              <w:rPr>
                <w:webHidden/>
              </w:rPr>
              <w:instrText xml:space="preserve">PAGEREF _Toc168605549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016" w:leader="dot"/>
            </w:tabs>
            <w:rPr>
              <w:kern w:val="2"/>
              <w:sz w:val="24"/>
              <w:szCs w:val="24"/>
              <w14:ligatures w14:val="standardContextual"/>
            </w:rPr>
          </w:pPr>
          <w:hyperlink w:anchor="_Toc168605550">
            <w:r>
              <w:rPr>
                <w:webHidden/>
                <w:rStyle w:val="IndexLink"/>
              </w:rPr>
              <w:t>Summary of approach</w:t>
            </w:r>
            <w:r>
              <w:rPr>
                <w:webHidden/>
              </w:rPr>
              <w:fldChar w:fldCharType="begin"/>
            </w:r>
            <w:r>
              <w:rPr>
                <w:webHidden/>
              </w:rPr>
              <w:instrText xml:space="preserve">PAGEREF _Toc168605550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016" w:leader="dot"/>
            </w:tabs>
            <w:rPr>
              <w:kern w:val="2"/>
              <w:sz w:val="24"/>
              <w:szCs w:val="24"/>
              <w14:ligatures w14:val="standardContextual"/>
            </w:rPr>
          </w:pPr>
          <w:hyperlink w:anchor="_Toc168605551">
            <w:r>
              <w:rPr>
                <w:webHidden/>
                <w:rStyle w:val="IndexLink"/>
              </w:rPr>
              <w:t>Risk Identification</w:t>
            </w:r>
            <w:r>
              <w:rPr>
                <w:webHidden/>
              </w:rPr>
              <w:fldChar w:fldCharType="begin"/>
            </w:r>
            <w:r>
              <w:rPr>
                <w:webHidden/>
              </w:rPr>
              <w:instrText xml:space="preserve">PAGEREF _Toc168605551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kern w:val="2"/>
              <w:sz w:val="24"/>
              <w:szCs w:val="24"/>
              <w14:ligatures w14:val="standardContextual"/>
            </w:rPr>
          </w:pPr>
          <w:hyperlink w:anchor="_Toc168605552">
            <w:r>
              <w:rPr>
                <w:webHidden/>
                <w:rStyle w:val="IndexLink"/>
              </w:rPr>
              <w:t>Treatment Plans</w:t>
            </w:r>
            <w:r>
              <w:rPr>
                <w:webHidden/>
              </w:rPr>
              <w:fldChar w:fldCharType="begin"/>
            </w:r>
            <w:r>
              <w:rPr>
                <w:webHidden/>
              </w:rPr>
              <w:instrText xml:space="preserve">PAGEREF _Toc168605552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016" w:leader="dot"/>
            </w:tabs>
            <w:rPr>
              <w:kern w:val="2"/>
              <w:sz w:val="24"/>
              <w:szCs w:val="24"/>
              <w14:ligatures w14:val="standardContextual"/>
            </w:rPr>
          </w:pPr>
          <w:hyperlink w:anchor="_Toc168605553">
            <w:r>
              <w:rPr>
                <w:webHidden/>
                <w:rStyle w:val="IndexLink"/>
              </w:rPr>
              <w:t>Escalation</w:t>
            </w:r>
            <w:r>
              <w:rPr>
                <w:webHidden/>
              </w:rPr>
              <w:fldChar w:fldCharType="begin"/>
            </w:r>
            <w:r>
              <w:rPr>
                <w:webHidden/>
              </w:rPr>
              <w:instrText xml:space="preserve">PAGEREF _Toc168605553 \h</w:instrText>
            </w:r>
            <w:r>
              <w:rPr>
                <w:webHidden/>
              </w:rPr>
              <w:fldChar w:fldCharType="separate"/>
            </w:r>
            <w:r>
              <w:rPr>
                <w:rStyle w:val="IndexLink"/>
                <w:vanish w:val="false"/>
              </w:rPr>
              <w:tab/>
              <w:t>8</w:t>
            </w:r>
            <w:r>
              <w:rPr>
                <w:webHidden/>
              </w:rPr>
              <w:fldChar w:fldCharType="end"/>
            </w:r>
          </w:hyperlink>
          <w:r>
            <w:rPr>
              <w:rStyle w:val="IndexLink"/>
              <w:vanish w:val="false"/>
            </w:rPr>
            <w:fldChar w:fldCharType="end"/>
          </w:r>
        </w:p>
      </w:sdtContent>
    </w:sdt>
    <w:p>
      <w:pPr>
        <w:pStyle w:val="Normal"/>
        <w:widowControl w:val="false"/>
        <w:tabs>
          <w:tab w:val="clear" w:pos="720"/>
          <w:tab w:val="right" w:pos="12000" w:leader="dot"/>
        </w:tabs>
        <w:spacing w:before="60" w:after="0"/>
        <w:rPr>
          <w:b/>
        </w:rPr>
      </w:pPr>
      <w:r>
        <w:rPr>
          <w:b/>
        </w:rPr>
      </w:r>
    </w:p>
    <w:p>
      <w:pPr>
        <w:pStyle w:val="Heading1"/>
        <w:rPr>
          <w:color w:themeColor="accent1" w:themeShade="80" w:val="auto"/>
        </w:rPr>
      </w:pPr>
      <w:r>
        <w:rPr>
          <w:rFonts w:ascii="Aptos" w:hAnsi="Aptos"/>
          <w:sz w:val="20"/>
        </w:rPr>
        <w:t>Purpose of This Document</w:t>
      </w:r>
    </w:p>
    <w:p>
      <w:pPr>
        <w:pStyle w:val="Normal"/>
        <w:rPr/>
      </w:pPr>
      <w:r>
        <w:rPr>
          <w:sz w:val="20"/>
        </w:rPr>
        <w:t>This document defines the information security risk assessment and treatment methodology for Al-Afaq Digital Bank. It establishes a consistent approach for identifying, assessing, prioritising, treating, accepting, monitoring, and escalating information security risks within the ISMS.</w:t>
      </w:r>
    </w:p>
    <w:p>
      <w:pPr>
        <w:pStyle w:val="Normal"/>
        <w:rPr/>
      </w:pPr>
      <w:r>
        <w:rPr>
          <w:sz w:val="20"/>
        </w:rPr>
        <w:t>The methodology supports the bank's need to protect customer, employee, financial, treasury, regulatory, technical, and security information while maintaining the availability of digital banking services and meeting applicable regulatory requirements.</w:t>
      </w:r>
    </w:p>
    <w:p>
      <w:pPr>
        <w:pStyle w:val="Normal"/>
        <w:rPr/>
      </w:pPr>
      <w:r>
        <w:rPr>
          <w:sz w:val="20"/>
        </w:rPr>
        <w:t>The methodology is intended for the Information Security function, risk owners, management, Internal Audit, Compliance and Legal, relevant technology teams, and other stakeholders involved in risk decisions.</w:t>
      </w:r>
    </w:p>
    <w:p>
      <w:pPr>
        <w:pStyle w:val="Heading1"/>
        <w:rPr>
          <w:color w:themeColor="accent1" w:themeShade="80" w:val="auto"/>
        </w:rPr>
      </w:pPr>
      <w:r>
        <w:rPr>
          <w:rFonts w:ascii="Aptos" w:hAnsi="Aptos"/>
          <w:sz w:val="20"/>
        </w:rPr>
        <w:t>The Risk Log</w:t>
      </w:r>
    </w:p>
    <w:p>
      <w:pPr>
        <w:pStyle w:val="Normal"/>
        <w:rPr/>
      </w:pPr>
      <w:r>
        <w:rPr>
          <w:sz w:val="20"/>
        </w:rPr>
        <w:t>The information security risk log is maintained as the controlled Al-Afaq Digital Bank Information Security Risk Assessment Register within the ISMS documentation set.</w:t>
      </w:r>
    </w:p>
    <w:p>
      <w:pPr>
        <w:pStyle w:val="Normal"/>
        <w:rPr/>
      </w:pPr>
      <w:r>
        <w:rPr>
          <w:sz w:val="20"/>
        </w:rPr>
        <w:t>Access to the risk log is restricted to:</w:t>
      </w:r>
    </w:p>
    <w:p>
      <w:pPr>
        <w:pStyle w:val="Normal"/>
        <w:rPr/>
      </w:pPr>
      <w:r>
        <w:rPr>
          <w:sz w:val="20"/>
        </w:rPr>
        <w:t>Information Security Management, designated risk owners, relevant IT and business managers, Internal Audit, Compliance and Legal, and authorised members of top management. Access is limited according to business need.</w:t>
      </w:r>
    </w:p>
    <w:p>
      <w:pPr>
        <w:pStyle w:val="Heading1"/>
        <w:rPr>
          <w:color w:themeColor="accent1" w:themeShade="80" w:val="auto"/>
        </w:rPr>
      </w:pPr>
      <w:r>
        <w:rPr>
          <w:rFonts w:ascii="Aptos" w:hAnsi="Aptos"/>
          <w:sz w:val="20"/>
        </w:rPr>
        <w:t>Roles &amp; Responsibilities</w:t>
      </w:r>
    </w:p>
    <w:p>
      <w:pPr>
        <w:pStyle w:val="Normal"/>
        <w:pBdr/>
        <w:spacing w:before="0" w:after="0"/>
        <w:rPr/>
      </w:pPr>
      <w:r>
        <w:rPr/>
      </w:r>
    </w:p>
    <w:p>
      <w:pPr>
        <w:pStyle w:val="Normal"/>
        <w:rPr>
          <w:b/>
        </w:rPr>
      </w:pPr>
      <w:r>
        <w:rPr>
          <w:b/>
          <w:sz w:val="20"/>
        </w:rPr>
        <w:t>Information Security Group (ISG)</w:t>
      </w:r>
    </w:p>
    <w:p>
      <w:pPr>
        <w:pStyle w:val="Normal"/>
        <w:numPr>
          <w:ilvl w:val="0"/>
          <w:numId w:val="1"/>
        </w:numPr>
        <w:pBdr/>
        <w:spacing w:before="0" w:after="0"/>
        <w:rPr/>
      </w:pPr>
      <w:r>
        <w:rPr>
          <w:sz w:val="20"/>
        </w:rPr>
        <w:t>Establishing the bank's risk management objectives, risk appetite, and decision criteria.</w:t>
      </w:r>
    </w:p>
    <w:p>
      <w:pPr>
        <w:pStyle w:val="Normal"/>
        <w:numPr>
          <w:ilvl w:val="0"/>
          <w:numId w:val="1"/>
        </w:numPr>
        <w:pBdr/>
        <w:spacing w:before="0" w:after="0"/>
        <w:rPr/>
      </w:pPr>
      <w:r>
        <w:rPr>
          <w:sz w:val="20"/>
        </w:rPr>
        <w:t>Allocating resources required to assess and treat information security risks.</w:t>
      </w:r>
    </w:p>
    <w:p>
      <w:pPr>
        <w:pStyle w:val="Normal"/>
        <w:numPr>
          <w:ilvl w:val="0"/>
          <w:numId w:val="1"/>
        </w:numPr>
        <w:pBdr/>
        <w:rPr/>
      </w:pPr>
      <w:r>
        <w:rPr>
          <w:sz w:val="20"/>
        </w:rPr>
        <w:t>Ensuring risk treatment decisions support regulatory obligations, business objectives, and the protection of critical banking services.</w:t>
      </w:r>
    </w:p>
    <w:p>
      <w:pPr>
        <w:pStyle w:val="Normal"/>
        <w:rPr>
          <w:b/>
        </w:rPr>
      </w:pPr>
      <w:r>
        <w:rPr>
          <w:b/>
          <w:sz w:val="20"/>
        </w:rPr>
        <w:t>Risk owners</w:t>
      </w:r>
    </w:p>
    <w:p>
      <w:pPr>
        <w:pStyle w:val="Normal"/>
        <w:numPr>
          <w:ilvl w:val="0"/>
          <w:numId w:val="2"/>
        </w:numPr>
        <w:pBdr/>
        <w:spacing w:before="0" w:after="0"/>
        <w:rPr/>
      </w:pPr>
      <w:r>
        <w:rPr>
          <w:sz w:val="20"/>
        </w:rPr>
        <w:t>Identifying and assessing risks affecting their areas of responsibility and the information assets they manage.</w:t>
      </w:r>
    </w:p>
    <w:p>
      <w:pPr>
        <w:pStyle w:val="Normal"/>
        <w:numPr>
          <w:ilvl w:val="0"/>
          <w:numId w:val="2"/>
        </w:numPr>
        <w:pBdr/>
        <w:spacing w:before="0" w:after="0"/>
        <w:rPr/>
      </w:pPr>
      <w:r>
        <w:rPr>
          <w:sz w:val="20"/>
        </w:rPr>
        <w:t>Applying the approved likelihood, impact, and risk acceptance criteria consistently.</w:t>
      </w:r>
    </w:p>
    <w:p>
      <w:pPr>
        <w:pStyle w:val="Normal"/>
        <w:numPr>
          <w:ilvl w:val="0"/>
          <w:numId w:val="2"/>
        </w:numPr>
        <w:pBdr/>
        <w:spacing w:before="0" w:after="0"/>
        <w:rPr/>
      </w:pPr>
      <w:r>
        <w:rPr>
          <w:sz w:val="20"/>
        </w:rPr>
        <w:t>Selecting and implementing appropriate risk treatment decisions based on the assessed risk and the bank's risk appetite.</w:t>
      </w:r>
    </w:p>
    <w:p>
      <w:pPr>
        <w:pStyle w:val="Normal"/>
        <w:numPr>
          <w:ilvl w:val="0"/>
          <w:numId w:val="2"/>
        </w:numPr>
        <w:pBdr/>
        <w:spacing w:before="0" w:after="0"/>
        <w:rPr/>
      </w:pPr>
      <w:r>
        <w:rPr>
          <w:sz w:val="20"/>
        </w:rPr>
        <w:t>Implementing treatment actions and maintaining evidence of progress and completion.</w:t>
      </w:r>
    </w:p>
    <w:p>
      <w:pPr>
        <w:pStyle w:val="Normal"/>
        <w:numPr>
          <w:ilvl w:val="0"/>
          <w:numId w:val="2"/>
        </w:numPr>
        <w:pBdr/>
        <w:rPr/>
      </w:pPr>
      <w:r>
        <w:rPr>
          <w:sz w:val="20"/>
        </w:rPr>
        <w:t>Reporting significant changes, overdue actions, residual risks, and risk acceptance decisions.</w:t>
      </w:r>
    </w:p>
    <w:p>
      <w:pPr>
        <w:pStyle w:val="Normal"/>
        <w:rPr>
          <w:b/>
        </w:rPr>
      </w:pPr>
      <w:sdt>
        <w:sdtPr>
          <w:tag w:val="goog_rdk_1"/>
          <w:id w:val="-1874451242"/>
        </w:sdtPr>
        <w:sdtContent>
          <w:r>
            <w:rPr/>
          </w:r>
          <w:r>
            <w:rPr/>
          </w:r>
        </w:sdtContent>
      </w:sdt>
      <w:r>
        <w:rPr>
          <w:b/>
          <w:sz w:val="20"/>
        </w:rPr>
        <w:t>Information Security Officer (ISO):</w:t>
      </w:r>
    </w:p>
    <w:p>
      <w:pPr>
        <w:pStyle w:val="Normal"/>
        <w:numPr>
          <w:ilvl w:val="0"/>
          <w:numId w:val="3"/>
        </w:numPr>
        <w:pBdr/>
        <w:spacing w:before="0" w:after="0"/>
        <w:rPr/>
      </w:pPr>
      <w:r>
        <w:rPr>
          <w:sz w:val="20"/>
        </w:rPr>
        <w:t>Maintaining the risk assessment and treatment methodology and the associated risk assessment tools.</w:t>
      </w:r>
    </w:p>
    <w:p>
      <w:pPr>
        <w:pStyle w:val="Normal"/>
        <w:numPr>
          <w:ilvl w:val="0"/>
          <w:numId w:val="3"/>
        </w:numPr>
        <w:pBdr/>
        <w:spacing w:before="0" w:after="0"/>
        <w:rPr/>
      </w:pPr>
      <w:r>
        <w:rPr>
          <w:sz w:val="20"/>
        </w:rPr>
        <w:t>Providing guidance to risk owners and stakeholders throughout the risk assessment and treatment process.</w:t>
      </w:r>
    </w:p>
    <w:p>
      <w:pPr>
        <w:pStyle w:val="Normal"/>
        <w:numPr>
          <w:ilvl w:val="0"/>
          <w:numId w:val="3"/>
        </w:numPr>
        <w:pBdr/>
        <w:spacing w:before="0" w:after="0"/>
        <w:rPr/>
      </w:pPr>
      <w:r>
        <w:rPr>
          <w:sz w:val="20"/>
        </w:rPr>
        <w:t>Monitoring treatment progress, residual risk, and the effectiveness of agreed actions.</w:t>
      </w:r>
    </w:p>
    <w:p>
      <w:pPr>
        <w:pStyle w:val="Normal"/>
        <w:numPr>
          <w:ilvl w:val="0"/>
          <w:numId w:val="3"/>
        </w:numPr>
        <w:pBdr/>
        <w:spacing w:before="0" w:after="0"/>
        <w:rPr/>
      </w:pPr>
      <w:r>
        <w:rPr>
          <w:sz w:val="20"/>
        </w:rPr>
        <w:t>Reporting significant risk matters and treatment progress to top management and relevant stakeholders.</w:t>
      </w:r>
    </w:p>
    <w:p>
      <w:pPr>
        <w:pStyle w:val="Normal"/>
        <w:numPr>
          <w:ilvl w:val="0"/>
          <w:numId w:val="3"/>
        </w:numPr>
        <w:pBdr/>
        <w:rPr/>
      </w:pPr>
      <w:r>
        <w:rPr>
          <w:sz w:val="20"/>
        </w:rPr>
        <w:t>Coordinating risk assessment, treatment, review, and escalation activities.</w:t>
      </w:r>
    </w:p>
    <w:p>
      <w:pPr>
        <w:pStyle w:val="Heading1"/>
        <w:rPr>
          <w:color w:themeColor="accent1" w:themeShade="80" w:val="auto"/>
        </w:rPr>
      </w:pPr>
      <w:r>
        <w:rPr>
          <w:rFonts w:ascii="Aptos" w:hAnsi="Aptos"/>
          <w:sz w:val="20"/>
        </w:rPr>
        <w:t>Summary of Approach</w:t>
      </w:r>
    </w:p>
    <w:p>
      <w:pPr>
        <w:pStyle w:val="Normal"/>
        <w:rPr/>
      </w:pPr>
      <w:r>
        <w:rPr>
          <w:sz w:val="20"/>
        </w:rPr>
        <w:t>The risk management approach follows five connected steps: risk identification, risk assessment, risk prioritisation, risk treatment, and risk monitoring.</w:t>
      </w:r>
    </w:p>
    <w:p>
      <w:pPr>
        <w:pStyle w:val="Normal"/>
        <w:jc w:val="center"/>
        <w:rPr>
          <w:sz w:val="24"/>
          <w:szCs w:val="24"/>
        </w:rPr>
      </w:pPr>
      <w:r>
        <w:rPr>
          <w:sz w:val="24"/>
          <w:szCs w:val="24"/>
        </w:rPr>
      </w:r>
    </w:p>
    <w:p>
      <w:pPr>
        <w:pStyle w:val="Heading1"/>
        <w:rPr>
          <w:color w:themeColor="accent1" w:themeShade="80" w:val="auto"/>
        </w:rPr>
      </w:pPr>
      <w:r>
        <w:rPr>
          <w:rFonts w:ascii="Aptos" w:hAnsi="Aptos"/>
          <w:sz w:val="20"/>
        </w:rPr>
        <w:t>Risk Identification</w:t>
      </w:r>
    </w:p>
    <w:p>
      <w:pPr>
        <w:pStyle w:val="Normal"/>
        <w:rPr/>
      </w:pPr>
      <w:r>
        <w:rPr>
          <w:sz w:val="20"/>
        </w:rPr>
        <w:t>Risk identification is based on the documented context of Al-Afaq Digital Bank and evidence available from its operations, systems, assets, incidents, vulnerabilities, stakeholders, suppliers, and regulatory environment.</w:t>
      </w:r>
    </w:p>
    <w:p>
      <w:pPr>
        <w:pStyle w:val="Normal"/>
        <w:numPr>
          <w:ilvl w:val="0"/>
          <w:numId w:val="6"/>
        </w:numPr>
        <w:pBdr/>
        <w:ind w:hanging="357" w:left="714"/>
        <w:rPr/>
      </w:pPr>
      <w:r>
        <w:rPr>
          <w:sz w:val="20"/>
        </w:rPr>
        <w:t>Context and regulatory review – Changes affecting SAMA requirements, personal data protection obligations, international banking relationships, business services, stakeholders, or the ISMS scope are considered as potential sources of new or changed risks.</w:t>
      </w:r>
    </w:p>
    <w:p>
      <w:pPr>
        <w:pStyle w:val="Normal"/>
        <w:numPr>
          <w:ilvl w:val="0"/>
          <w:numId w:val="6"/>
        </w:numPr>
        <w:pBdr/>
        <w:ind w:hanging="357" w:left="714"/>
        <w:rPr/>
      </w:pPr>
      <w:r>
        <w:rPr>
          <w:sz w:val="20"/>
        </w:rPr>
        <w:t>Threat review – The bank considers ransomware, advanced phishing, distributed denial-of-service attacks, supply-chain attacks, insider threats, and exploitation of mobile and online banking vulnerabilities. Threat intelligence is recognised as an area requiring more systematic collection and analysis.</w:t>
      </w:r>
    </w:p>
    <w:p>
      <w:pPr>
        <w:pStyle w:val="Normal"/>
        <w:numPr>
          <w:ilvl w:val="0"/>
          <w:numId w:val="6"/>
        </w:numPr>
        <w:pBdr/>
        <w:ind w:hanging="357" w:left="714"/>
        <w:rPr/>
      </w:pPr>
      <w:r>
        <w:rPr>
          <w:sz w:val="20"/>
        </w:rPr>
        <w:t>Incident and weakness review – Previous incidents, vulnerability assessment results, configuration weaknesses, access issues, monitoring limitations, and other identified control weaknesses are reviewed to identify risks.</w:t>
      </w:r>
    </w:p>
    <w:p>
      <w:pPr>
        <w:pStyle w:val="Normal"/>
        <w:numPr>
          <w:ilvl w:val="0"/>
          <w:numId w:val="6"/>
        </w:numPr>
        <w:pBdr/>
        <w:ind w:hanging="357" w:left="714"/>
        <w:rPr/>
      </w:pPr>
      <w:r>
        <w:rPr>
          <w:sz w:val="20"/>
        </w:rPr>
        <w:t>Stakeholder engagement – Relevant business, technology, security, legal, compliance, audit, and management stakeholders provide information about risks affecting their responsibilities and services.</w:t>
      </w:r>
    </w:p>
    <w:p>
      <w:pPr>
        <w:pStyle w:val="Normal"/>
        <w:numPr>
          <w:ilvl w:val="0"/>
          <w:numId w:val="6"/>
        </w:numPr>
        <w:pBdr/>
        <w:ind w:hanging="357" w:left="714"/>
        <w:rPr/>
      </w:pPr>
      <w:r>
        <w:rPr>
          <w:sz w:val="20"/>
        </w:rPr>
        <w:t>Security assessment evidence – Vulnerability assessments, security reviews, audit observations, incident records, and other available evidence are used to identify and validate risks.</w:t>
      </w:r>
    </w:p>
    <w:p>
      <w:pPr>
        <w:pStyle w:val="Normal"/>
        <w:numPr>
          <w:ilvl w:val="0"/>
          <w:numId w:val="6"/>
        </w:numPr>
        <w:pBdr/>
        <w:ind w:hanging="357" w:left="714"/>
        <w:rPr/>
      </w:pPr>
      <w:r>
        <w:rPr>
          <w:sz w:val="20"/>
        </w:rPr>
        <w:t>Critical system and asset review – Customer databases, banking applications, core banking services, payment systems, security systems, infrastructure, employee information, financial information, and other critical assets are reviewed for threats and potential impacts.</w:t>
      </w:r>
    </w:p>
    <w:p>
      <w:pPr>
        <w:pStyle w:val="Normal"/>
        <w:rPr/>
      </w:pPr>
      <w:r>
        <w:rPr>
          <w:sz w:val="20"/>
        </w:rPr>
        <w:t>Identified risks are recorded in the Risk Log as the controlled record of risk description, assessment, treatment decision, ownership, and review status.</w:t>
      </w:r>
    </w:p>
    <w:p>
      <w:pPr>
        <w:pStyle w:val="Heading1"/>
        <w:rPr>
          <w:sz w:val="24"/>
          <w:szCs w:val="24"/>
        </w:rPr>
      </w:pPr>
      <w:bookmarkStart w:id="0" w:name="_heading=h.tyjcwt"/>
      <w:bookmarkEnd w:id="0"/>
      <w:r>
        <w:rPr>
          <w:rFonts w:ascii="Aptos" w:hAnsi="Aptos"/>
          <w:sz w:val="20"/>
        </w:rPr>
        <w:t xml:space="preserve">Risk Assessment </w:t>
      </w:r>
    </w:p>
    <w:p>
      <w:pPr>
        <w:pStyle w:val="Normal"/>
        <w:rPr/>
      </w:pPr>
      <w:r>
        <w:rPr>
          <w:sz w:val="20"/>
        </w:rPr>
        <w:t>Each identified risk is evaluated using likelihood and impact. Likelihood represents the probability that the risk scenario will occur, while impact represents the potential effect on confidentiality, integrity, availability, operations, compliance, finances, reputation, and stakeholder trust.</w:t>
      </w:r>
    </w:p>
    <w:p>
      <w:pPr>
        <w:pStyle w:val="Normal"/>
        <w:rPr/>
      </w:pPr>
      <w:r>
        <w:rPr>
          <w:sz w:val="20"/>
        </w:rPr>
        <w:t>Al-Afaq Digital Bank applies the following five-point likelihood and impact scales.</w:t>
      </w:r>
    </w:p>
    <w:tbl>
      <w:tblPr>
        <w:tblStyle w:val="GridTable4"/>
        <w:tblW w:w="8910" w:type="dxa"/>
        <w:jc w:val="center"/>
        <w:tblInd w:w="0" w:type="dxa"/>
        <w:tblLayout w:type="fixed"/>
        <w:tblCellMar>
          <w:top w:w="0" w:type="dxa"/>
          <w:left w:w="108" w:type="dxa"/>
          <w:bottom w:w="0" w:type="dxa"/>
          <w:right w:w="108" w:type="dxa"/>
        </w:tblCellMar>
        <w:tblLook w:val="0620" w:noHBand="1" w:noVBand="1" w:firstColumn="0" w:lastRow="0" w:lastColumn="0" w:firstRow="1"/>
      </w:tblPr>
      <w:tblGrid>
        <w:gridCol w:w="1874"/>
        <w:gridCol w:w="6195"/>
        <w:gridCol w:w="841"/>
      </w:tblGrid>
      <w:tr>
        <w:trPr>
          <w:cnfStyle w:val="100000000000" w:firstRow="1" w:lastRow="0" w:firstColumn="0" w:lastColumn="0" w:oddVBand="0" w:evenVBand="0" w:oddHBand="0" w:evenHBand="0" w:firstRowFirstColumn="0" w:firstRowLastColumn="0" w:lastRowFirstColumn="0" w:lastRowLastColumn="0"/>
        </w:trPr>
        <w:tc>
          <w:tcPr>
            <w:tcW w:w="1874"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0"/>
              <w:jc w:val="center"/>
              <w:rPr>
                <w:b w:val="false"/>
                <w:color w:val="auto"/>
              </w:rPr>
            </w:pPr>
            <w:r>
              <w:rPr>
                <w:rFonts w:eastAsia="" w:cs=""/>
                <w:b/>
                <w:bCs/>
                <w:color w:val="auto"/>
                <w:kern w:val="0"/>
                <w:sz w:val="18"/>
                <w:szCs w:val="22"/>
                <w:lang w:val="en-GB" w:eastAsia="en-GB" w:bidi="ar-SA"/>
              </w:rPr>
              <w:t>Likelihood</w:t>
            </w:r>
          </w:p>
        </w:tc>
        <w:tc>
          <w:tcPr>
            <w:tcW w:w="6195"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0"/>
              <w:jc w:val="center"/>
              <w:rPr>
                <w:b w:val="false"/>
                <w:color w:val="auto"/>
              </w:rPr>
            </w:pPr>
            <w:r>
              <w:rPr>
                <w:rFonts w:eastAsia="" w:cs=""/>
                <w:b/>
                <w:bCs/>
                <w:color w:val="auto"/>
                <w:kern w:val="0"/>
                <w:sz w:val="18"/>
                <w:szCs w:val="22"/>
                <w:lang w:val="en-GB" w:eastAsia="en-GB" w:bidi="ar-SA"/>
              </w:rPr>
              <w:t>Description</w:t>
            </w:r>
          </w:p>
        </w:tc>
        <w:tc>
          <w:tcPr>
            <w:tcW w:w="841"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0"/>
              <w:jc w:val="center"/>
              <w:rPr>
                <w:b w:val="false"/>
                <w:color w:val="auto"/>
              </w:rPr>
            </w:pPr>
            <w:r>
              <w:rPr>
                <w:rFonts w:eastAsia="" w:cs=""/>
                <w:b/>
                <w:bCs/>
                <w:color w:val="auto"/>
                <w:kern w:val="0"/>
                <w:sz w:val="18"/>
                <w:szCs w:val="22"/>
                <w:lang w:val="en-GB" w:eastAsia="en-GB" w:bidi="ar-SA"/>
              </w:rPr>
              <w:t>Score</w:t>
            </w:r>
          </w:p>
        </w:tc>
      </w:tr>
      <w:tr>
        <w:trPr>
          <w:trHeight w:val="222" w:hRule="atLeast"/>
        </w:trPr>
        <w:tc>
          <w:tcPr>
            <w:tcW w:w="1874"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Remote</w:t>
            </w:r>
          </w:p>
        </w:tc>
        <w:tc>
          <w:tcPr>
            <w:tcW w:w="6195"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 xml:space="preserve">The risk is improbable to occur under normal circumstances. </w:t>
              <w:br/>
              <w:t xml:space="preserve">There may be no known instances or only a few rare cases in similar organisations or environments. </w:t>
              <w:br/>
              <w:t>This category is typically reserved for risks considered negligible or theoretical.</w:t>
            </w:r>
          </w:p>
        </w:tc>
        <w:tc>
          <w:tcPr>
            <w:tcW w:w="841"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1</w:t>
            </w:r>
          </w:p>
        </w:tc>
      </w:tr>
      <w:tr>
        <w:trPr/>
        <w:tc>
          <w:tcPr>
            <w:tcW w:w="1874"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Unlikely</w:t>
            </w:r>
          </w:p>
        </w:tc>
        <w:tc>
          <w:tcPr>
            <w:tcW w:w="6195"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The risk has a low chance of occurring.</w:t>
              <w:br/>
              <w:t xml:space="preserve">It might happen in exceptional circumstances but is not expected to occur regularly. </w:t>
              <w:br/>
              <w:t>This level is for recognised risks uncommon in your industry or operational environment.</w:t>
            </w:r>
          </w:p>
        </w:tc>
        <w:tc>
          <w:tcPr>
            <w:tcW w:w="841"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2</w:t>
            </w:r>
          </w:p>
        </w:tc>
      </w:tr>
      <w:tr>
        <w:trPr/>
        <w:tc>
          <w:tcPr>
            <w:tcW w:w="1874"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Possible</w:t>
            </w:r>
          </w:p>
        </w:tc>
        <w:tc>
          <w:tcPr>
            <w:tcW w:w="6195"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 xml:space="preserve">The risk has a moderate likelihood of occurring. </w:t>
              <w:br/>
              <w:t xml:space="preserve">There is an equal chance of the risk occurring or not occurring. </w:t>
              <w:br/>
              <w:t>It's a realistic possibility in your current environment and should be given a fair amount of attention.</w:t>
            </w:r>
          </w:p>
        </w:tc>
        <w:tc>
          <w:tcPr>
            <w:tcW w:w="841"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3</w:t>
            </w:r>
          </w:p>
        </w:tc>
      </w:tr>
      <w:tr>
        <w:trPr/>
        <w:tc>
          <w:tcPr>
            <w:tcW w:w="1874"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Probable</w:t>
            </w:r>
          </w:p>
        </w:tc>
        <w:tc>
          <w:tcPr>
            <w:tcW w:w="6195"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The risk is more likely to occur than not.</w:t>
              <w:br/>
              <w:t xml:space="preserve"> There have been instances of this risk materialising in similar contexts, or there are factors in your environment that increase its likelihood. </w:t>
              <w:br/>
              <w:t>It requires proactive management and monitoring.</w:t>
            </w:r>
          </w:p>
        </w:tc>
        <w:tc>
          <w:tcPr>
            <w:tcW w:w="841"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4</w:t>
            </w:r>
          </w:p>
        </w:tc>
      </w:tr>
      <w:tr>
        <w:trPr/>
        <w:tc>
          <w:tcPr>
            <w:tcW w:w="1874"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Highly Probable</w:t>
            </w:r>
          </w:p>
        </w:tc>
        <w:tc>
          <w:tcPr>
            <w:tcW w:w="6195"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 xml:space="preserve">The risk is almost certain to occur. </w:t>
              <w:br/>
              <w:t xml:space="preserve">Strong evidence or historical data suggests this risk is frequent in your setting. </w:t>
              <w:br/>
              <w:t>This level indicates a high-priority risk that demands immediate and effective mitigation measures.</w:t>
            </w:r>
          </w:p>
        </w:tc>
        <w:tc>
          <w:tcPr>
            <w:tcW w:w="841"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5</w:t>
            </w:r>
          </w:p>
        </w:tc>
      </w:tr>
    </w:tbl>
    <w:p>
      <w:pPr>
        <w:pStyle w:val="Normal"/>
        <w:rPr>
          <w:sz w:val="24"/>
          <w:szCs w:val="24"/>
        </w:rPr>
      </w:pPr>
      <w:r>
        <w:rPr>
          <w:sz w:val="24"/>
          <w:szCs w:val="24"/>
        </w:rPr>
      </w:r>
    </w:p>
    <w:tbl>
      <w:tblPr>
        <w:tblStyle w:val="GridTable4-Accent4"/>
        <w:tblW w:w="8940" w:type="dxa"/>
        <w:jc w:val="center"/>
        <w:tblInd w:w="0" w:type="dxa"/>
        <w:tblLayout w:type="fixed"/>
        <w:tblCellMar>
          <w:top w:w="0" w:type="dxa"/>
          <w:left w:w="108" w:type="dxa"/>
          <w:bottom w:w="0" w:type="dxa"/>
          <w:right w:w="108" w:type="dxa"/>
        </w:tblCellMar>
        <w:tblLook w:val="0420" w:noHBand="0" w:noVBand="1" w:firstColumn="0" w:lastRow="0" w:lastColumn="0" w:firstRow="1"/>
      </w:tblPr>
      <w:tblGrid>
        <w:gridCol w:w="1889"/>
        <w:gridCol w:w="6181"/>
        <w:gridCol w:w="870"/>
      </w:tblGrid>
      <w:tr>
        <w:trPr>
          <w:cnfStyle w:val="100000000000" w:firstRow="1" w:lastRow="0" w:firstColumn="0" w:lastColumn="0" w:oddVBand="0" w:evenVBand="0" w:oddHBand="0" w:evenHBand="0" w:firstRowFirstColumn="0" w:firstRowLastColumn="0" w:lastRowFirstColumn="0" w:lastRowLastColumn="0"/>
        </w:trPr>
        <w:tc>
          <w:tcPr>
            <w:tcW w:w="1889" w:type="dxa"/>
            <w:tcBorders>
              <w:top w:val="single" w:sz="4" w:space="0" w:color="0F9ED5"/>
              <w:left w:val="single" w:sz="4" w:space="0" w:color="0F9ED5"/>
              <w:bottom w:val="single" w:sz="4" w:space="0" w:color="0F9ED5"/>
              <w:right w:val="single" w:sz="4" w:space="0" w:color="0F9ED5"/>
            </w:tcBorders>
            <w:shd w:color="auto" w:fill="0F9ED5" w:themeFill="accent4" w:val="clear"/>
          </w:tcPr>
          <w:p>
            <w:pPr>
              <w:pStyle w:val="Normal"/>
              <w:widowControl/>
              <w:spacing w:lineRule="auto" w:line="240" w:before="0" w:after="0"/>
              <w:jc w:val="center"/>
              <w:rPr>
                <w:b w:val="false"/>
                <w:color w:val="auto"/>
              </w:rPr>
            </w:pPr>
            <w:r>
              <w:rPr>
                <w:rFonts w:eastAsia="" w:cs=""/>
                <w:b/>
                <w:bCs/>
                <w:color w:val="auto"/>
                <w:kern w:val="0"/>
                <w:sz w:val="18"/>
                <w:szCs w:val="22"/>
                <w:lang w:val="en-GB" w:eastAsia="en-GB" w:bidi="ar-SA"/>
              </w:rPr>
              <w:t>Impact</w:t>
            </w:r>
          </w:p>
        </w:tc>
        <w:tc>
          <w:tcPr>
            <w:tcW w:w="6181" w:type="dxa"/>
            <w:tcBorders>
              <w:top w:val="single" w:sz="4" w:space="0" w:color="0F9ED5"/>
              <w:left w:val="single" w:sz="4" w:space="0" w:color="0F9ED5"/>
              <w:bottom w:val="single" w:sz="4" w:space="0" w:color="0F9ED5"/>
              <w:right w:val="single" w:sz="4" w:space="0" w:color="0F9ED5"/>
            </w:tcBorders>
            <w:shd w:color="auto" w:fill="0F9ED5" w:themeFill="accent4" w:val="clear"/>
          </w:tcPr>
          <w:p>
            <w:pPr>
              <w:pStyle w:val="Normal"/>
              <w:widowControl/>
              <w:spacing w:lineRule="auto" w:line="240" w:before="0" w:after="0"/>
              <w:jc w:val="left"/>
              <w:rPr>
                <w:b w:val="false"/>
                <w:color w:val="auto"/>
              </w:rPr>
            </w:pPr>
            <w:r>
              <w:rPr>
                <w:rFonts w:eastAsia="" w:cs=""/>
                <w:b/>
                <w:bCs/>
                <w:color w:val="auto"/>
                <w:kern w:val="0"/>
                <w:sz w:val="18"/>
                <w:szCs w:val="22"/>
                <w:lang w:val="en-GB" w:eastAsia="en-GB" w:bidi="ar-SA"/>
              </w:rPr>
              <w:t>Description</w:t>
            </w:r>
          </w:p>
        </w:tc>
        <w:tc>
          <w:tcPr>
            <w:tcW w:w="870" w:type="dxa"/>
            <w:tcBorders>
              <w:top w:val="single" w:sz="4" w:space="0" w:color="0F9ED5"/>
              <w:left w:val="single" w:sz="4" w:space="0" w:color="0F9ED5"/>
              <w:bottom w:val="single" w:sz="4" w:space="0" w:color="0F9ED5"/>
              <w:right w:val="single" w:sz="4" w:space="0" w:color="0F9ED5"/>
            </w:tcBorders>
            <w:shd w:color="auto" w:fill="0F9ED5" w:themeFill="accent4" w:val="clear"/>
          </w:tcPr>
          <w:p>
            <w:pPr>
              <w:pStyle w:val="Normal"/>
              <w:widowControl/>
              <w:spacing w:lineRule="auto" w:line="240" w:before="0" w:after="0"/>
              <w:jc w:val="center"/>
              <w:rPr>
                <w:b w:val="false"/>
                <w:color w:val="auto"/>
              </w:rPr>
            </w:pPr>
            <w:r>
              <w:rPr>
                <w:rFonts w:eastAsia="" w:cs=""/>
                <w:b/>
                <w:bCs/>
                <w:color w:val="auto"/>
                <w:kern w:val="0"/>
                <w:sz w:val="18"/>
                <w:szCs w:val="22"/>
                <w:lang w:val="en-GB" w:eastAsia="en-GB" w:bidi="ar-SA"/>
              </w:rPr>
              <w:t>Score</w:t>
            </w:r>
          </w:p>
        </w:tc>
      </w:tr>
      <w:tr>
        <w:trPr>
          <w:cnfStyle w:val="000000100000" w:firstRow="0" w:lastRow="0" w:firstColumn="0" w:lastColumn="0" w:oddVBand="0" w:evenVBand="0" w:oddHBand="1" w:evenHBand="0" w:firstRowFirstColumn="0" w:firstRowLastColumn="0" w:lastRowFirstColumn="0" w:lastRowLastColumn="0"/>
        </w:trPr>
        <w:tc>
          <w:tcPr>
            <w:tcW w:w="1889" w:type="dxa"/>
            <w:tcBorders/>
            <w:shd w:color="auto" w:fill="CAEDFB" w:themeFill="accent4" w:themeFillTint="33" w:val="clear"/>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Insignificant</w:t>
            </w:r>
          </w:p>
        </w:tc>
        <w:tc>
          <w:tcPr>
            <w:tcW w:w="6181" w:type="dxa"/>
            <w:tcBorders/>
            <w:shd w:color="auto" w:fill="CAEDFB" w:themeFill="accent4" w:themeFillTint="33" w:val="clear"/>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 xml:space="preserve">The impact is negligible, with no notable consequences on operations, reputation, or finances. </w:t>
              <w:br/>
              <w:t>It would not cause any interruption to normal business activities or require significant effort to address.</w:t>
            </w:r>
          </w:p>
        </w:tc>
        <w:tc>
          <w:tcPr>
            <w:tcW w:w="870" w:type="dxa"/>
            <w:tcBorders/>
            <w:shd w:color="auto" w:fill="CAEDFB" w:themeFill="accent4" w:themeFillTint="33" w:val="clear"/>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1</w:t>
            </w:r>
          </w:p>
        </w:tc>
      </w:tr>
      <w:tr>
        <w:trPr/>
        <w:tc>
          <w:tcPr>
            <w:tcW w:w="1889"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Minor</w:t>
            </w:r>
          </w:p>
        </w:tc>
        <w:tc>
          <w:tcPr>
            <w:tcW w:w="6181"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 xml:space="preserve">The impact causes a minor inconvenience that can be easily managed or resolved through routine procedures. </w:t>
              <w:br/>
              <w:t>It may result in a slight delay or minor costs, but it does not significantly affect business operations or objectives.</w:t>
            </w:r>
          </w:p>
        </w:tc>
        <w:tc>
          <w:tcPr>
            <w:tcW w:w="870"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2</w:t>
            </w:r>
          </w:p>
        </w:tc>
      </w:tr>
      <w:tr>
        <w:trPr>
          <w:cnfStyle w:val="000000100000" w:firstRow="0" w:lastRow="0" w:firstColumn="0" w:lastColumn="0" w:oddVBand="0" w:evenVBand="0" w:oddHBand="1" w:evenHBand="0" w:firstRowFirstColumn="0" w:firstRowLastColumn="0" w:lastRowFirstColumn="0" w:lastRowLastColumn="0"/>
        </w:trPr>
        <w:tc>
          <w:tcPr>
            <w:tcW w:w="1889" w:type="dxa"/>
            <w:tcBorders/>
            <w:shd w:color="auto" w:fill="CAEDFB" w:themeFill="accent4" w:themeFillTint="33" w:val="clear"/>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Moderate</w:t>
            </w:r>
          </w:p>
        </w:tc>
        <w:tc>
          <w:tcPr>
            <w:tcW w:w="6181" w:type="dxa"/>
            <w:tcBorders/>
            <w:shd w:color="auto" w:fill="CAEDFB" w:themeFill="accent4" w:themeFillTint="33" w:val="clear"/>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 xml:space="preserve">The impact is noticeable and may cause some disruption but can be managed or worked around without significant difficulty. </w:t>
              <w:br/>
              <w:t xml:space="preserve">This level might involve moderate financial costs, a temporary reduction in productivity, or some strain on resources. </w:t>
              <w:br/>
              <w:t>It requires management attention but is within the organisation's capacity to handle effectively.</w:t>
            </w:r>
          </w:p>
        </w:tc>
        <w:tc>
          <w:tcPr>
            <w:tcW w:w="870" w:type="dxa"/>
            <w:tcBorders/>
            <w:shd w:color="auto" w:fill="CAEDFB" w:themeFill="accent4" w:themeFillTint="33" w:val="clear"/>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3</w:t>
            </w:r>
          </w:p>
        </w:tc>
      </w:tr>
      <w:tr>
        <w:trPr/>
        <w:tc>
          <w:tcPr>
            <w:tcW w:w="1889"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Major</w:t>
            </w:r>
          </w:p>
        </w:tc>
        <w:tc>
          <w:tcPr>
            <w:tcW w:w="6181"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 xml:space="preserve">The impact causes significant disruption to services or operations. </w:t>
              <w:br/>
              <w:t xml:space="preserve">It may result in substantial financial loss, severe damage to reputation, or considerable resource allocation to address. </w:t>
              <w:br/>
              <w:t>Recovery from this level of impact requires significant effort and may affect the organisation's strategic objectives or long-term plans.</w:t>
            </w:r>
          </w:p>
        </w:tc>
        <w:tc>
          <w:tcPr>
            <w:tcW w:w="870" w:type="dxa"/>
            <w:tcBorders/>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4</w:t>
            </w:r>
          </w:p>
        </w:tc>
      </w:tr>
      <w:tr>
        <w:trPr>
          <w:cnfStyle w:val="000000100000" w:firstRow="0" w:lastRow="0" w:firstColumn="0" w:lastColumn="0" w:oddVBand="0" w:evenVBand="0" w:oddHBand="1" w:evenHBand="0" w:firstRowFirstColumn="0" w:firstRowLastColumn="0" w:lastRowFirstColumn="0" w:lastRowLastColumn="0"/>
        </w:trPr>
        <w:tc>
          <w:tcPr>
            <w:tcW w:w="1889" w:type="dxa"/>
            <w:tcBorders/>
            <w:shd w:color="auto" w:fill="CAEDFB" w:themeFill="accent4" w:themeFillTint="33" w:val="clear"/>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Catastrophic</w:t>
            </w:r>
          </w:p>
        </w:tc>
        <w:tc>
          <w:tcPr>
            <w:tcW w:w="6181" w:type="dxa"/>
            <w:tcBorders/>
            <w:shd w:color="auto" w:fill="CAEDFB" w:themeFill="accent4" w:themeFillTint="33" w:val="clear"/>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The impact is so severe that it threatens the existence and continued operation of the organisation.</w:t>
              <w:br/>
              <w:t xml:space="preserve">It could lead to long-term or permanent damage to the organisation's reputation, financial stability, or market position. </w:t>
              <w:br/>
              <w:t>This impact may involve legal ramifications, significant financial losses, and critical damage to organisational assets or stakeholder relationships.</w:t>
            </w:r>
          </w:p>
        </w:tc>
        <w:tc>
          <w:tcPr>
            <w:tcW w:w="870" w:type="dxa"/>
            <w:tcBorders/>
            <w:shd w:color="auto" w:fill="CAEDFB" w:themeFill="accent4" w:themeFillTint="33" w:val="clear"/>
          </w:tcPr>
          <w:p>
            <w:pPr>
              <w:pStyle w:val="Normal"/>
              <w:widowControl/>
              <w:spacing w:lineRule="auto" w:line="240" w:before="0" w:after="0"/>
              <w:jc w:val="left"/>
              <w:rPr>
                <w:rFonts w:ascii="Aptos" w:hAnsi="Aptos" w:eastAsia="" w:cs=""/>
                <w:kern w:val="0"/>
                <w:sz w:val="22"/>
                <w:szCs w:val="22"/>
                <w:lang w:val="en-GB" w:eastAsia="en-GB" w:bidi="ar-SA"/>
              </w:rPr>
            </w:pPr>
            <w:r>
              <w:rPr>
                <w:rFonts w:eastAsia="" w:cs=""/>
                <w:kern w:val="0"/>
                <w:sz w:val="18"/>
                <w:szCs w:val="22"/>
                <w:lang w:val="en-GB" w:eastAsia="en-GB" w:bidi="ar-SA"/>
              </w:rPr>
              <w:t>5</w:t>
            </w:r>
          </w:p>
        </w:tc>
      </w:tr>
    </w:tbl>
    <w:p>
      <w:pPr>
        <w:pStyle w:val="Normal"/>
        <w:rPr>
          <w:sz w:val="28"/>
          <w:szCs w:val="28"/>
        </w:rPr>
      </w:pPr>
      <w:r>
        <w:rPr>
          <w:sz w:val="28"/>
          <w:szCs w:val="28"/>
        </w:rPr>
      </w:r>
    </w:p>
    <w:p>
      <w:pPr>
        <w:pStyle w:val="Heading1"/>
        <w:rPr>
          <w:sz w:val="24"/>
          <w:szCs w:val="24"/>
        </w:rPr>
      </w:pPr>
      <w:bookmarkStart w:id="1" w:name="_heading=h.3dy6vkm"/>
      <w:bookmarkEnd w:id="1"/>
      <w:r>
        <w:rPr>
          <w:rFonts w:ascii="Aptos" w:hAnsi="Aptos"/>
          <w:sz w:val="20"/>
        </w:rPr>
        <w:t>Risk Prioritisation</w:t>
      </w:r>
      <w:r>
        <w:rPr>
          <w:rFonts w:ascii="Aptos" w:hAnsi="Aptos"/>
          <w:sz w:val="24"/>
          <w:szCs w:val="24"/>
        </w:rPr>
        <w:t xml:space="preserve"> </w:t>
      </w:r>
    </w:p>
    <w:p>
      <w:pPr>
        <w:pStyle w:val="Normal"/>
        <w:rPr/>
      </w:pPr>
      <w:r>
        <w:rPr>
          <w:sz w:val="20"/>
        </w:rPr>
        <w:t>Risks are prioritised using the product of Impact × Likelihood. The resulting score determines the risk category and the level of management attention required. Risks associated with critical banking services, sensitive information, regulatory obligations, or significant customer impact receive particular attention.</w:t>
      </w:r>
    </w:p>
    <w:p>
      <w:pPr>
        <w:pStyle w:val="Normal"/>
        <w:rPr/>
      </w:pPr>
      <w:r>
        <w:rPr/>
      </w:r>
      <w:r>
        <w:br w:type="page"/>
      </w:r>
    </w:p>
    <w:p>
      <w:pPr>
        <w:pStyle w:val="Normal"/>
        <w:spacing w:before="0" w:after="160"/>
        <w:rPr/>
      </w:pPr>
      <w:r>
        <w:rPr/>
      </w:r>
    </w:p>
    <w:tbl>
      <w:tblPr>
        <w:tblStyle w:val="a2"/>
        <w:tblW w:w="9025" w:type="dxa"/>
        <w:jc w:val="center"/>
        <w:tblInd w:w="0" w:type="dxa"/>
        <w:tblLayout w:type="fixed"/>
        <w:tblCellMar>
          <w:top w:w="0" w:type="dxa"/>
          <w:left w:w="40" w:type="dxa"/>
          <w:bottom w:w="0" w:type="dxa"/>
          <w:right w:w="40" w:type="dxa"/>
        </w:tblCellMar>
        <w:tblLook w:val="0600" w:noHBand="1" w:noVBand="1" w:firstColumn="0" w:lastRow="0" w:lastColumn="0" w:firstRow="0"/>
      </w:tblPr>
      <w:tblGrid>
        <w:gridCol w:w="871"/>
        <w:gridCol w:w="1342"/>
        <w:gridCol w:w="576"/>
        <w:gridCol w:w="1247"/>
        <w:gridCol w:w="1248"/>
        <w:gridCol w:w="1247"/>
        <w:gridCol w:w="1246"/>
        <w:gridCol w:w="1247"/>
      </w:tblGrid>
      <w:tr>
        <w:trPr>
          <w:trHeight w:val="795" w:hRule="atLeast"/>
        </w:trPr>
        <w:tc>
          <w:tcPr>
            <w:tcW w:w="871" w:type="dxa"/>
            <w:vMerge w:val="restart"/>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160"/>
              <w:jc w:val="left"/>
              <w:rPr/>
            </w:pPr>
            <w:r>
              <w:rPr>
                <w:b w:val="false"/>
                <w:sz w:val="18"/>
              </w:rPr>
              <w:t>IMPACT</w:t>
            </w:r>
          </w:p>
        </w:tc>
        <w:tc>
          <w:tcPr>
            <w:tcW w:w="1342" w:type="dxa"/>
            <w:tcBorders>
              <w:top w:val="single" w:sz="4" w:space="0" w:color="000000"/>
              <w:left w:val="single" w:sz="4" w:space="0" w:color="CCCCCC"/>
              <w:bottom w:val="single" w:sz="4" w:space="0" w:color="000000"/>
              <w:right w:val="single" w:sz="4" w:space="0" w:color="000000"/>
            </w:tcBorders>
            <w:vAlign w:val="center"/>
          </w:tcPr>
          <w:p>
            <w:pPr>
              <w:pStyle w:val="Normal"/>
              <w:spacing w:before="0" w:after="160"/>
              <w:jc w:val="left"/>
              <w:rPr/>
            </w:pPr>
            <w:r>
              <w:rPr>
                <w:b w:val="false"/>
                <w:sz w:val="18"/>
              </w:rPr>
              <w:t>Catastrophic</w:t>
            </w:r>
          </w:p>
        </w:tc>
        <w:tc>
          <w:tcPr>
            <w:tcW w:w="576" w:type="dxa"/>
            <w:tcBorders>
              <w:top w:val="single" w:sz="4" w:space="0" w:color="000000"/>
              <w:left w:val="single" w:sz="4" w:space="0" w:color="CCCCCC"/>
              <w:bottom w:val="single" w:sz="4" w:space="0" w:color="000000"/>
              <w:right w:val="single" w:sz="4" w:space="0" w:color="000000"/>
            </w:tcBorders>
            <w:vAlign w:val="center"/>
          </w:tcPr>
          <w:p>
            <w:pPr>
              <w:pStyle w:val="Normal"/>
              <w:spacing w:before="0" w:after="160"/>
              <w:jc w:val="left"/>
              <w:rPr/>
            </w:pPr>
            <w:r>
              <w:rPr>
                <w:b w:val="false"/>
                <w:sz w:val="18"/>
              </w:rPr>
              <w:t>5</w:t>
            </w:r>
          </w:p>
        </w:tc>
        <w:tc>
          <w:tcPr>
            <w:tcW w:w="1247" w:type="dxa"/>
            <w:tcBorders>
              <w:top w:val="single" w:sz="4" w:space="0" w:color="000000"/>
              <w:left w:val="single" w:sz="4" w:space="0" w:color="CCCCCC"/>
              <w:bottom w:val="single" w:sz="4" w:space="0" w:color="000000"/>
              <w:right w:val="single" w:sz="4" w:space="0" w:color="000000"/>
            </w:tcBorders>
            <w:shd w:color="auto" w:fill="FFFF00" w:val="clear"/>
            <w:vAlign w:val="center"/>
          </w:tcPr>
          <w:p>
            <w:pPr>
              <w:pStyle w:val="Normal"/>
              <w:spacing w:before="0" w:after="160"/>
              <w:jc w:val="left"/>
              <w:rPr/>
            </w:pPr>
            <w:r>
              <w:rPr>
                <w:b w:val="false"/>
                <w:sz w:val="18"/>
              </w:rPr>
              <w:t>5</w:t>
            </w:r>
          </w:p>
        </w:tc>
        <w:tc>
          <w:tcPr>
            <w:tcW w:w="1248" w:type="dxa"/>
            <w:tcBorders>
              <w:top w:val="single" w:sz="4" w:space="0" w:color="000000"/>
              <w:left w:val="single" w:sz="4" w:space="0" w:color="CCCCCC"/>
              <w:bottom w:val="single" w:sz="4" w:space="0" w:color="000000"/>
              <w:right w:val="single" w:sz="4" w:space="0" w:color="000000"/>
            </w:tcBorders>
            <w:shd w:color="auto" w:fill="FF9900" w:val="clear"/>
            <w:vAlign w:val="center"/>
          </w:tcPr>
          <w:p>
            <w:pPr>
              <w:pStyle w:val="Normal"/>
              <w:spacing w:before="0" w:after="160"/>
              <w:jc w:val="left"/>
              <w:rPr/>
            </w:pPr>
            <w:r>
              <w:rPr>
                <w:b w:val="false"/>
                <w:sz w:val="18"/>
              </w:rPr>
              <w:t>10</w:t>
            </w:r>
          </w:p>
        </w:tc>
        <w:tc>
          <w:tcPr>
            <w:tcW w:w="1247" w:type="dxa"/>
            <w:tcBorders>
              <w:top w:val="single" w:sz="4" w:space="0" w:color="000000"/>
              <w:left w:val="single" w:sz="4" w:space="0" w:color="CCCCCC"/>
              <w:bottom w:val="single" w:sz="4" w:space="0" w:color="000000"/>
              <w:right w:val="single" w:sz="4" w:space="0" w:color="000000"/>
            </w:tcBorders>
            <w:shd w:color="auto" w:fill="FF9900" w:val="clear"/>
            <w:vAlign w:val="center"/>
          </w:tcPr>
          <w:p>
            <w:pPr>
              <w:pStyle w:val="Normal"/>
              <w:spacing w:before="0" w:after="160"/>
              <w:jc w:val="left"/>
              <w:rPr/>
            </w:pPr>
            <w:r>
              <w:rPr>
                <w:b w:val="false"/>
                <w:sz w:val="18"/>
              </w:rPr>
              <w:t>15</w:t>
            </w:r>
          </w:p>
        </w:tc>
        <w:tc>
          <w:tcPr>
            <w:tcW w:w="1246" w:type="dxa"/>
            <w:tcBorders>
              <w:top w:val="single" w:sz="4" w:space="0" w:color="000000"/>
              <w:left w:val="single" w:sz="4" w:space="0" w:color="CCCCCC"/>
              <w:bottom w:val="single" w:sz="4" w:space="0" w:color="000000"/>
              <w:right w:val="single" w:sz="4" w:space="0" w:color="000000"/>
            </w:tcBorders>
            <w:shd w:color="auto" w:fill="FF0000" w:val="clear"/>
            <w:vAlign w:val="center"/>
          </w:tcPr>
          <w:p>
            <w:pPr>
              <w:pStyle w:val="Normal"/>
              <w:spacing w:before="0" w:after="160"/>
              <w:jc w:val="left"/>
              <w:rPr/>
            </w:pPr>
            <w:r>
              <w:rPr>
                <w:b w:val="false"/>
                <w:sz w:val="18"/>
              </w:rPr>
              <w:t>20</w:t>
            </w:r>
          </w:p>
        </w:tc>
        <w:tc>
          <w:tcPr>
            <w:tcW w:w="1247" w:type="dxa"/>
            <w:tcBorders>
              <w:top w:val="single" w:sz="4" w:space="0" w:color="000000"/>
              <w:left w:val="single" w:sz="4" w:space="0" w:color="CCCCCC"/>
              <w:bottom w:val="single" w:sz="4" w:space="0" w:color="000000"/>
              <w:right w:val="single" w:sz="4" w:space="0" w:color="000000"/>
            </w:tcBorders>
            <w:shd w:color="auto" w:fill="FF0000" w:val="clear"/>
            <w:vAlign w:val="center"/>
          </w:tcPr>
          <w:p>
            <w:pPr>
              <w:pStyle w:val="Normal"/>
              <w:spacing w:before="0" w:after="160"/>
              <w:jc w:val="left"/>
              <w:rPr/>
            </w:pPr>
            <w:r>
              <w:rPr>
                <w:b w:val="false"/>
                <w:sz w:val="18"/>
              </w:rPr>
              <w:t>25</w:t>
            </w:r>
          </w:p>
        </w:tc>
      </w:tr>
      <w:tr>
        <w:trPr>
          <w:trHeight w:val="795" w:hRule="atLeast"/>
        </w:trPr>
        <w:tc>
          <w:tcPr>
            <w:tcW w:w="871" w:type="dxa"/>
            <w:vMerge w:val="continue"/>
            <w:tcBorders>
              <w:top w:val="single" w:sz="4" w:space="0" w:color="000000"/>
              <w:left w:val="single" w:sz="4" w:space="0" w:color="000000"/>
              <w:bottom w:val="single" w:sz="4" w:space="0" w:color="000000"/>
              <w:right w:val="single" w:sz="4" w:space="0" w:color="000000"/>
            </w:tcBorders>
            <w:shd w:color="auto" w:fill="auto" w:val="clear"/>
            <w:tcMar>
              <w:top w:w="100" w:type="dxa"/>
              <w:left w:w="100" w:type="dxa"/>
              <w:bottom w:w="100" w:type="dxa"/>
              <w:right w:w="100" w:type="dxa"/>
            </w:tcMar>
          </w:tcPr>
          <w:p>
            <w:pPr>
              <w:pStyle w:val="Normal"/>
              <w:widowControl w:val="false"/>
              <w:spacing w:lineRule="auto" w:line="276" w:before="0" w:after="0"/>
              <w:rPr>
                <w:rFonts w:ascii="Calibri" w:hAnsi="Calibri" w:eastAsia="Calibri" w:cs="Calibri"/>
              </w:rPr>
            </w:pPr>
            <w:r>
              <w:rPr>
                <w:rFonts w:eastAsia="Calibri" w:cs="Calibri" w:ascii="Calibri" w:hAnsi="Calibri"/>
              </w:rPr>
            </w:r>
          </w:p>
        </w:tc>
        <w:tc>
          <w:tcPr>
            <w:tcW w:w="1342"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spacing w:before="0" w:after="160"/>
              <w:jc w:val="left"/>
              <w:rPr/>
            </w:pPr>
            <w:r>
              <w:rPr>
                <w:b w:val="false"/>
                <w:sz w:val="18"/>
              </w:rPr>
              <w:t>Major Disruption</w:t>
            </w:r>
          </w:p>
        </w:tc>
        <w:tc>
          <w:tcPr>
            <w:tcW w:w="576"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spacing w:before="0" w:after="160"/>
              <w:jc w:val="left"/>
              <w:rPr/>
            </w:pPr>
            <w:r>
              <w:rPr>
                <w:b w:val="false"/>
                <w:sz w:val="18"/>
              </w:rPr>
              <w:t>4</w:t>
            </w:r>
          </w:p>
        </w:tc>
        <w:tc>
          <w:tcPr>
            <w:tcW w:w="1247" w:type="dxa"/>
            <w:tcBorders>
              <w:top w:val="single" w:sz="4" w:space="0" w:color="CCCCCC"/>
              <w:left w:val="single" w:sz="4" w:space="0" w:color="CCCCCC"/>
              <w:bottom w:val="single" w:sz="4" w:space="0" w:color="000000"/>
              <w:right w:val="single" w:sz="4" w:space="0" w:color="000000"/>
            </w:tcBorders>
            <w:shd w:color="auto" w:fill="00FF00" w:val="clear"/>
            <w:vAlign w:val="center"/>
          </w:tcPr>
          <w:p>
            <w:pPr>
              <w:pStyle w:val="Normal"/>
              <w:spacing w:before="0" w:after="160"/>
              <w:jc w:val="left"/>
              <w:rPr/>
            </w:pPr>
            <w:r>
              <w:rPr>
                <w:b w:val="false"/>
                <w:sz w:val="18"/>
              </w:rPr>
              <w:t>4</w:t>
            </w:r>
          </w:p>
        </w:tc>
        <w:tc>
          <w:tcPr>
            <w:tcW w:w="1248" w:type="dxa"/>
            <w:tcBorders>
              <w:top w:val="single" w:sz="4" w:space="0" w:color="CCCCCC"/>
              <w:left w:val="single" w:sz="4" w:space="0" w:color="CCCCCC"/>
              <w:bottom w:val="single" w:sz="4" w:space="0" w:color="000000"/>
              <w:right w:val="single" w:sz="4" w:space="0" w:color="000000"/>
            </w:tcBorders>
            <w:shd w:color="auto" w:fill="FFFF00" w:val="clear"/>
            <w:vAlign w:val="center"/>
          </w:tcPr>
          <w:p>
            <w:pPr>
              <w:pStyle w:val="Normal"/>
              <w:spacing w:before="0" w:after="160"/>
              <w:jc w:val="left"/>
              <w:rPr/>
            </w:pPr>
            <w:r>
              <w:rPr>
                <w:b w:val="false"/>
                <w:sz w:val="18"/>
              </w:rPr>
              <w:t>8</w:t>
            </w:r>
          </w:p>
        </w:tc>
        <w:tc>
          <w:tcPr>
            <w:tcW w:w="1247" w:type="dxa"/>
            <w:tcBorders>
              <w:top w:val="single" w:sz="4" w:space="0" w:color="CCCCCC"/>
              <w:left w:val="single" w:sz="4" w:space="0" w:color="CCCCCC"/>
              <w:bottom w:val="single" w:sz="4" w:space="0" w:color="000000"/>
              <w:right w:val="single" w:sz="4" w:space="0" w:color="000000"/>
            </w:tcBorders>
            <w:shd w:color="auto" w:fill="FF9900" w:val="clear"/>
            <w:vAlign w:val="center"/>
          </w:tcPr>
          <w:p>
            <w:pPr>
              <w:pStyle w:val="Normal"/>
              <w:spacing w:before="0" w:after="160"/>
              <w:jc w:val="left"/>
              <w:rPr/>
            </w:pPr>
            <w:r>
              <w:rPr>
                <w:b w:val="false"/>
                <w:sz w:val="18"/>
              </w:rPr>
              <w:t>12</w:t>
            </w:r>
          </w:p>
        </w:tc>
        <w:tc>
          <w:tcPr>
            <w:tcW w:w="1246" w:type="dxa"/>
            <w:tcBorders>
              <w:top w:val="single" w:sz="4" w:space="0" w:color="CCCCCC"/>
              <w:left w:val="single" w:sz="4" w:space="0" w:color="CCCCCC"/>
              <w:bottom w:val="single" w:sz="4" w:space="0" w:color="000000"/>
              <w:right w:val="single" w:sz="4" w:space="0" w:color="000000"/>
            </w:tcBorders>
            <w:shd w:color="auto" w:fill="FF9900" w:val="clear"/>
            <w:vAlign w:val="center"/>
          </w:tcPr>
          <w:p>
            <w:pPr>
              <w:pStyle w:val="Normal"/>
              <w:spacing w:before="0" w:after="160"/>
              <w:jc w:val="left"/>
              <w:rPr/>
            </w:pPr>
            <w:r>
              <w:rPr>
                <w:b w:val="false"/>
                <w:sz w:val="18"/>
              </w:rPr>
              <w:t>16</w:t>
            </w:r>
          </w:p>
        </w:tc>
        <w:tc>
          <w:tcPr>
            <w:tcW w:w="1247" w:type="dxa"/>
            <w:tcBorders>
              <w:top w:val="single" w:sz="4" w:space="0" w:color="CCCCCC"/>
              <w:left w:val="single" w:sz="4" w:space="0" w:color="CCCCCC"/>
              <w:bottom w:val="single" w:sz="4" w:space="0" w:color="000000"/>
              <w:right w:val="single" w:sz="4" w:space="0" w:color="000000"/>
            </w:tcBorders>
            <w:shd w:color="auto" w:fill="FF0000" w:val="clear"/>
            <w:vAlign w:val="center"/>
          </w:tcPr>
          <w:p>
            <w:pPr>
              <w:pStyle w:val="Normal"/>
              <w:spacing w:before="0" w:after="160"/>
              <w:jc w:val="left"/>
              <w:rPr/>
            </w:pPr>
            <w:r>
              <w:rPr>
                <w:b w:val="false"/>
                <w:sz w:val="18"/>
              </w:rPr>
              <w:t>20</w:t>
            </w:r>
          </w:p>
        </w:tc>
      </w:tr>
      <w:tr>
        <w:trPr>
          <w:trHeight w:val="795" w:hRule="atLeast"/>
        </w:trPr>
        <w:tc>
          <w:tcPr>
            <w:tcW w:w="871" w:type="dxa"/>
            <w:vMerge w:val="continue"/>
            <w:tcBorders>
              <w:top w:val="single" w:sz="4" w:space="0" w:color="000000"/>
              <w:left w:val="single" w:sz="4" w:space="0" w:color="000000"/>
              <w:bottom w:val="single" w:sz="4" w:space="0" w:color="000000"/>
              <w:right w:val="single" w:sz="4" w:space="0" w:color="000000"/>
            </w:tcBorders>
            <w:shd w:color="auto" w:fill="auto" w:val="clear"/>
            <w:tcMar>
              <w:top w:w="100" w:type="dxa"/>
              <w:left w:w="100" w:type="dxa"/>
              <w:bottom w:w="100" w:type="dxa"/>
              <w:right w:w="100" w:type="dxa"/>
            </w:tcMar>
          </w:tcPr>
          <w:p>
            <w:pPr>
              <w:pStyle w:val="Normal"/>
              <w:widowControl w:val="false"/>
              <w:spacing w:lineRule="auto" w:line="276" w:before="0" w:after="0"/>
              <w:rPr>
                <w:rFonts w:ascii="Calibri" w:hAnsi="Calibri" w:eastAsia="Calibri" w:cs="Calibri"/>
              </w:rPr>
            </w:pPr>
            <w:r>
              <w:rPr>
                <w:rFonts w:eastAsia="Calibri" w:cs="Calibri" w:ascii="Calibri" w:hAnsi="Calibri"/>
              </w:rPr>
            </w:r>
          </w:p>
        </w:tc>
        <w:tc>
          <w:tcPr>
            <w:tcW w:w="1342"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spacing w:before="0" w:after="160"/>
              <w:jc w:val="left"/>
              <w:rPr/>
            </w:pPr>
            <w:r>
              <w:rPr>
                <w:b w:val="false"/>
                <w:sz w:val="18"/>
              </w:rPr>
              <w:t>Moderate / Workaround</w:t>
            </w:r>
          </w:p>
        </w:tc>
        <w:tc>
          <w:tcPr>
            <w:tcW w:w="576"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spacing w:before="0" w:after="160"/>
              <w:jc w:val="left"/>
              <w:rPr/>
            </w:pPr>
            <w:r>
              <w:rPr>
                <w:b w:val="false"/>
                <w:sz w:val="18"/>
              </w:rPr>
              <w:t>3</w:t>
            </w:r>
          </w:p>
        </w:tc>
        <w:tc>
          <w:tcPr>
            <w:tcW w:w="1247" w:type="dxa"/>
            <w:tcBorders>
              <w:top w:val="single" w:sz="4" w:space="0" w:color="CCCCCC"/>
              <w:left w:val="single" w:sz="4" w:space="0" w:color="CCCCCC"/>
              <w:bottom w:val="single" w:sz="4" w:space="0" w:color="000000"/>
              <w:right w:val="single" w:sz="4" w:space="0" w:color="000000"/>
            </w:tcBorders>
            <w:shd w:color="auto" w:fill="00FF00" w:val="clear"/>
            <w:vAlign w:val="center"/>
          </w:tcPr>
          <w:p>
            <w:pPr>
              <w:pStyle w:val="Normal"/>
              <w:spacing w:before="0" w:after="160"/>
              <w:jc w:val="left"/>
              <w:rPr/>
            </w:pPr>
            <w:r>
              <w:rPr>
                <w:b w:val="false"/>
                <w:sz w:val="18"/>
              </w:rPr>
              <w:t>3</w:t>
            </w:r>
          </w:p>
        </w:tc>
        <w:tc>
          <w:tcPr>
            <w:tcW w:w="1248" w:type="dxa"/>
            <w:tcBorders>
              <w:top w:val="single" w:sz="4" w:space="0" w:color="CCCCCC"/>
              <w:left w:val="single" w:sz="4" w:space="0" w:color="CCCCCC"/>
              <w:bottom w:val="single" w:sz="4" w:space="0" w:color="000000"/>
              <w:right w:val="single" w:sz="4" w:space="0" w:color="000000"/>
            </w:tcBorders>
            <w:shd w:color="auto" w:fill="FFFF00" w:val="clear"/>
            <w:vAlign w:val="center"/>
          </w:tcPr>
          <w:p>
            <w:pPr>
              <w:pStyle w:val="Normal"/>
              <w:spacing w:before="0" w:after="160"/>
              <w:jc w:val="left"/>
              <w:rPr/>
            </w:pPr>
            <w:r>
              <w:rPr>
                <w:b w:val="false"/>
                <w:sz w:val="18"/>
              </w:rPr>
              <w:t>6</w:t>
            </w:r>
          </w:p>
        </w:tc>
        <w:tc>
          <w:tcPr>
            <w:tcW w:w="1247" w:type="dxa"/>
            <w:tcBorders>
              <w:top w:val="single" w:sz="4" w:space="0" w:color="CCCCCC"/>
              <w:left w:val="single" w:sz="4" w:space="0" w:color="CCCCCC"/>
              <w:bottom w:val="single" w:sz="4" w:space="0" w:color="000000"/>
              <w:right w:val="single" w:sz="4" w:space="0" w:color="000000"/>
            </w:tcBorders>
            <w:shd w:color="auto" w:fill="FFFF00" w:val="clear"/>
            <w:vAlign w:val="center"/>
          </w:tcPr>
          <w:p>
            <w:pPr>
              <w:pStyle w:val="Normal"/>
              <w:spacing w:before="0" w:after="160"/>
              <w:jc w:val="left"/>
              <w:rPr/>
            </w:pPr>
            <w:r>
              <w:rPr>
                <w:b w:val="false"/>
                <w:sz w:val="18"/>
              </w:rPr>
              <w:t>9</w:t>
            </w:r>
          </w:p>
        </w:tc>
        <w:tc>
          <w:tcPr>
            <w:tcW w:w="1246" w:type="dxa"/>
            <w:tcBorders>
              <w:top w:val="single" w:sz="4" w:space="0" w:color="CCCCCC"/>
              <w:left w:val="single" w:sz="4" w:space="0" w:color="CCCCCC"/>
              <w:bottom w:val="single" w:sz="4" w:space="0" w:color="000000"/>
              <w:right w:val="single" w:sz="4" w:space="0" w:color="000000"/>
            </w:tcBorders>
            <w:shd w:color="auto" w:fill="FF9900" w:val="clear"/>
            <w:vAlign w:val="center"/>
          </w:tcPr>
          <w:p>
            <w:pPr>
              <w:pStyle w:val="Normal"/>
              <w:spacing w:before="0" w:after="160"/>
              <w:jc w:val="left"/>
              <w:rPr/>
            </w:pPr>
            <w:r>
              <w:rPr>
                <w:b w:val="false"/>
                <w:sz w:val="18"/>
              </w:rPr>
              <w:t>12</w:t>
            </w:r>
          </w:p>
        </w:tc>
        <w:tc>
          <w:tcPr>
            <w:tcW w:w="1247" w:type="dxa"/>
            <w:tcBorders>
              <w:top w:val="single" w:sz="4" w:space="0" w:color="CCCCCC"/>
              <w:left w:val="single" w:sz="4" w:space="0" w:color="CCCCCC"/>
              <w:bottom w:val="single" w:sz="4" w:space="0" w:color="000000"/>
              <w:right w:val="single" w:sz="4" w:space="0" w:color="000000"/>
            </w:tcBorders>
            <w:shd w:color="auto" w:fill="FF9900" w:val="clear"/>
            <w:vAlign w:val="center"/>
          </w:tcPr>
          <w:p>
            <w:pPr>
              <w:pStyle w:val="Normal"/>
              <w:spacing w:before="0" w:after="160"/>
              <w:jc w:val="left"/>
              <w:rPr/>
            </w:pPr>
            <w:r>
              <w:rPr>
                <w:b w:val="false"/>
                <w:sz w:val="18"/>
              </w:rPr>
              <w:t>15</w:t>
            </w:r>
          </w:p>
        </w:tc>
      </w:tr>
      <w:tr>
        <w:trPr>
          <w:trHeight w:val="795" w:hRule="atLeast"/>
        </w:trPr>
        <w:tc>
          <w:tcPr>
            <w:tcW w:w="871" w:type="dxa"/>
            <w:vMerge w:val="continue"/>
            <w:tcBorders>
              <w:top w:val="single" w:sz="4" w:space="0" w:color="000000"/>
              <w:left w:val="single" w:sz="4" w:space="0" w:color="000000"/>
              <w:bottom w:val="single" w:sz="4" w:space="0" w:color="000000"/>
              <w:right w:val="single" w:sz="4" w:space="0" w:color="000000"/>
            </w:tcBorders>
            <w:shd w:color="auto" w:fill="auto" w:val="clear"/>
            <w:tcMar>
              <w:top w:w="100" w:type="dxa"/>
              <w:left w:w="100" w:type="dxa"/>
              <w:bottom w:w="100" w:type="dxa"/>
              <w:right w:w="100" w:type="dxa"/>
            </w:tcMar>
          </w:tcPr>
          <w:p>
            <w:pPr>
              <w:pStyle w:val="Normal"/>
              <w:widowControl w:val="false"/>
              <w:spacing w:lineRule="auto" w:line="276" w:before="0" w:after="0"/>
              <w:rPr>
                <w:rFonts w:ascii="Calibri" w:hAnsi="Calibri" w:eastAsia="Calibri" w:cs="Calibri"/>
              </w:rPr>
            </w:pPr>
            <w:r>
              <w:rPr>
                <w:rFonts w:eastAsia="Calibri" w:cs="Calibri" w:ascii="Calibri" w:hAnsi="Calibri"/>
              </w:rPr>
            </w:r>
          </w:p>
        </w:tc>
        <w:tc>
          <w:tcPr>
            <w:tcW w:w="1342"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spacing w:before="0" w:after="160"/>
              <w:jc w:val="left"/>
              <w:rPr/>
            </w:pPr>
            <w:r>
              <w:rPr>
                <w:b w:val="false"/>
                <w:sz w:val="18"/>
              </w:rPr>
              <w:t>Minor / Inconvenience</w:t>
            </w:r>
          </w:p>
        </w:tc>
        <w:tc>
          <w:tcPr>
            <w:tcW w:w="576" w:type="dxa"/>
            <w:tcBorders>
              <w:top w:val="single" w:sz="4" w:space="0" w:color="CCCCCC"/>
              <w:left w:val="single" w:sz="4" w:space="0" w:color="CCCCCC"/>
              <w:bottom w:val="single" w:sz="4" w:space="0" w:color="000000"/>
              <w:right w:val="single" w:sz="4" w:space="0" w:color="000000"/>
            </w:tcBorders>
            <w:shd w:color="auto" w:fill="auto" w:val="clear"/>
            <w:vAlign w:val="center"/>
          </w:tcPr>
          <w:p>
            <w:pPr>
              <w:pStyle w:val="Normal"/>
              <w:spacing w:before="0" w:after="160"/>
              <w:jc w:val="left"/>
              <w:rPr/>
            </w:pPr>
            <w:r>
              <w:rPr>
                <w:b w:val="false"/>
                <w:sz w:val="18"/>
              </w:rPr>
              <w:t>2</w:t>
            </w:r>
          </w:p>
        </w:tc>
        <w:tc>
          <w:tcPr>
            <w:tcW w:w="1247" w:type="dxa"/>
            <w:tcBorders>
              <w:top w:val="single" w:sz="4" w:space="0" w:color="CCCCCC"/>
              <w:left w:val="single" w:sz="4" w:space="0" w:color="CCCCCC"/>
              <w:bottom w:val="single" w:sz="4" w:space="0" w:color="000000"/>
              <w:right w:val="single" w:sz="4" w:space="0" w:color="000000"/>
            </w:tcBorders>
            <w:shd w:color="auto" w:fill="00FF00" w:val="clear"/>
            <w:vAlign w:val="center"/>
          </w:tcPr>
          <w:p>
            <w:pPr>
              <w:pStyle w:val="Normal"/>
              <w:spacing w:before="0" w:after="160"/>
              <w:jc w:val="left"/>
              <w:rPr/>
            </w:pPr>
            <w:r>
              <w:rPr>
                <w:b w:val="false"/>
                <w:sz w:val="18"/>
              </w:rPr>
              <w:t>2</w:t>
            </w:r>
          </w:p>
        </w:tc>
        <w:tc>
          <w:tcPr>
            <w:tcW w:w="1248" w:type="dxa"/>
            <w:tcBorders>
              <w:top w:val="single" w:sz="4" w:space="0" w:color="CCCCCC"/>
              <w:left w:val="single" w:sz="4" w:space="0" w:color="CCCCCC"/>
              <w:bottom w:val="single" w:sz="4" w:space="0" w:color="000000"/>
              <w:right w:val="single" w:sz="4" w:space="0" w:color="000000"/>
            </w:tcBorders>
            <w:shd w:color="auto" w:fill="00FF00" w:val="clear"/>
            <w:vAlign w:val="center"/>
          </w:tcPr>
          <w:p>
            <w:pPr>
              <w:pStyle w:val="Normal"/>
              <w:spacing w:before="0" w:after="160"/>
              <w:jc w:val="left"/>
              <w:rPr/>
            </w:pPr>
            <w:r>
              <w:rPr>
                <w:b w:val="false"/>
                <w:sz w:val="18"/>
              </w:rPr>
              <w:t>4</w:t>
            </w:r>
          </w:p>
        </w:tc>
        <w:tc>
          <w:tcPr>
            <w:tcW w:w="1247" w:type="dxa"/>
            <w:tcBorders>
              <w:top w:val="single" w:sz="4" w:space="0" w:color="CCCCCC"/>
              <w:left w:val="single" w:sz="4" w:space="0" w:color="CCCCCC"/>
              <w:bottom w:val="single" w:sz="4" w:space="0" w:color="000000"/>
              <w:right w:val="single" w:sz="4" w:space="0" w:color="000000"/>
            </w:tcBorders>
            <w:shd w:color="auto" w:fill="FFFF00" w:val="clear"/>
            <w:vAlign w:val="center"/>
          </w:tcPr>
          <w:p>
            <w:pPr>
              <w:pStyle w:val="Normal"/>
              <w:spacing w:before="0" w:after="160"/>
              <w:jc w:val="left"/>
              <w:rPr/>
            </w:pPr>
            <w:r>
              <w:rPr>
                <w:b w:val="false"/>
                <w:sz w:val="18"/>
              </w:rPr>
              <w:t>6</w:t>
            </w:r>
          </w:p>
        </w:tc>
        <w:tc>
          <w:tcPr>
            <w:tcW w:w="1246" w:type="dxa"/>
            <w:tcBorders>
              <w:top w:val="single" w:sz="4" w:space="0" w:color="CCCCCC"/>
              <w:left w:val="single" w:sz="4" w:space="0" w:color="CCCCCC"/>
              <w:bottom w:val="single" w:sz="4" w:space="0" w:color="000000"/>
              <w:right w:val="single" w:sz="4" w:space="0" w:color="000000"/>
            </w:tcBorders>
            <w:shd w:color="auto" w:fill="FFFF00" w:val="clear"/>
            <w:vAlign w:val="center"/>
          </w:tcPr>
          <w:p>
            <w:pPr>
              <w:pStyle w:val="Normal"/>
              <w:spacing w:before="0" w:after="160"/>
              <w:jc w:val="left"/>
              <w:rPr/>
            </w:pPr>
            <w:r>
              <w:rPr>
                <w:b w:val="false"/>
                <w:sz w:val="18"/>
              </w:rPr>
              <w:t>8</w:t>
            </w:r>
          </w:p>
        </w:tc>
        <w:tc>
          <w:tcPr>
            <w:tcW w:w="1247" w:type="dxa"/>
            <w:tcBorders>
              <w:top w:val="single" w:sz="4" w:space="0" w:color="CCCCCC"/>
              <w:left w:val="single" w:sz="4" w:space="0" w:color="CCCCCC"/>
              <w:bottom w:val="single" w:sz="4" w:space="0" w:color="000000"/>
              <w:right w:val="single" w:sz="4" w:space="0" w:color="000000"/>
            </w:tcBorders>
            <w:shd w:color="auto" w:fill="FF9900" w:val="clear"/>
            <w:vAlign w:val="center"/>
          </w:tcPr>
          <w:p>
            <w:pPr>
              <w:pStyle w:val="Normal"/>
              <w:spacing w:before="0" w:after="160"/>
              <w:jc w:val="left"/>
              <w:rPr/>
            </w:pPr>
            <w:r>
              <w:rPr>
                <w:b w:val="false"/>
                <w:sz w:val="18"/>
              </w:rPr>
              <w:t>10</w:t>
            </w:r>
          </w:p>
        </w:tc>
      </w:tr>
      <w:tr>
        <w:trPr>
          <w:trHeight w:val="795" w:hRule="atLeast"/>
        </w:trPr>
        <w:tc>
          <w:tcPr>
            <w:tcW w:w="871" w:type="dxa"/>
            <w:vMerge w:val="continue"/>
            <w:tcBorders>
              <w:top w:val="single" w:sz="4" w:space="0" w:color="000000"/>
              <w:left w:val="single" w:sz="4" w:space="0" w:color="000000"/>
              <w:bottom w:val="single" w:sz="4" w:space="0" w:color="000000"/>
              <w:right w:val="single" w:sz="4" w:space="0" w:color="000000"/>
            </w:tcBorders>
            <w:shd w:color="auto" w:fill="auto" w:val="clear"/>
            <w:tcMar>
              <w:top w:w="100" w:type="dxa"/>
              <w:left w:w="100" w:type="dxa"/>
              <w:bottom w:w="100" w:type="dxa"/>
              <w:right w:w="100" w:type="dxa"/>
            </w:tcMar>
          </w:tcPr>
          <w:p>
            <w:pPr>
              <w:pStyle w:val="Normal"/>
              <w:widowControl w:val="false"/>
              <w:spacing w:lineRule="auto" w:line="276" w:before="0" w:after="0"/>
              <w:rPr>
                <w:rFonts w:ascii="Calibri" w:hAnsi="Calibri" w:eastAsia="Calibri" w:cs="Calibri"/>
              </w:rPr>
            </w:pPr>
            <w:r>
              <w:rPr>
                <w:rFonts w:eastAsia="Calibri" w:cs="Calibri" w:ascii="Calibri" w:hAnsi="Calibri"/>
              </w:rPr>
            </w:r>
          </w:p>
        </w:tc>
        <w:tc>
          <w:tcPr>
            <w:tcW w:w="134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Insignificant</w:t>
            </w:r>
          </w:p>
        </w:tc>
        <w:tc>
          <w:tcPr>
            <w:tcW w:w="57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1</w:t>
            </w:r>
          </w:p>
        </w:tc>
        <w:tc>
          <w:tcPr>
            <w:tcW w:w="1247" w:type="dxa"/>
            <w:tcBorders>
              <w:top w:val="single" w:sz="4" w:space="0" w:color="CCCCCC"/>
              <w:left w:val="single" w:sz="4" w:space="0" w:color="000000"/>
              <w:bottom w:val="single" w:sz="4" w:space="0" w:color="000000"/>
              <w:right w:val="single" w:sz="4" w:space="0" w:color="000000"/>
            </w:tcBorders>
            <w:shd w:color="auto" w:fill="00FF00" w:val="clear"/>
            <w:vAlign w:val="center"/>
          </w:tcPr>
          <w:p>
            <w:pPr>
              <w:pStyle w:val="Normal"/>
              <w:spacing w:before="0" w:after="160"/>
              <w:jc w:val="left"/>
              <w:rPr/>
            </w:pPr>
            <w:r>
              <w:rPr>
                <w:b w:val="false"/>
                <w:sz w:val="18"/>
              </w:rPr>
              <w:t>1</w:t>
            </w:r>
          </w:p>
        </w:tc>
        <w:tc>
          <w:tcPr>
            <w:tcW w:w="1248" w:type="dxa"/>
            <w:tcBorders>
              <w:top w:val="single" w:sz="4" w:space="0" w:color="CCCCCC"/>
              <w:left w:val="single" w:sz="4" w:space="0" w:color="CCCCCC"/>
              <w:bottom w:val="single" w:sz="4" w:space="0" w:color="000000"/>
              <w:right w:val="single" w:sz="4" w:space="0" w:color="000000"/>
            </w:tcBorders>
            <w:shd w:color="auto" w:fill="00FF00" w:val="clear"/>
            <w:vAlign w:val="center"/>
          </w:tcPr>
          <w:p>
            <w:pPr>
              <w:pStyle w:val="Normal"/>
              <w:spacing w:before="0" w:after="160"/>
              <w:jc w:val="left"/>
              <w:rPr/>
            </w:pPr>
            <w:r>
              <w:rPr>
                <w:b w:val="false"/>
                <w:sz w:val="18"/>
              </w:rPr>
              <w:t>2</w:t>
            </w:r>
          </w:p>
        </w:tc>
        <w:tc>
          <w:tcPr>
            <w:tcW w:w="1247" w:type="dxa"/>
            <w:tcBorders>
              <w:top w:val="single" w:sz="4" w:space="0" w:color="CCCCCC"/>
              <w:left w:val="single" w:sz="4" w:space="0" w:color="CCCCCC"/>
              <w:bottom w:val="single" w:sz="4" w:space="0" w:color="000000"/>
              <w:right w:val="single" w:sz="4" w:space="0" w:color="000000"/>
            </w:tcBorders>
            <w:shd w:color="auto" w:fill="00FF00" w:val="clear"/>
            <w:vAlign w:val="center"/>
          </w:tcPr>
          <w:p>
            <w:pPr>
              <w:pStyle w:val="Normal"/>
              <w:spacing w:before="0" w:after="160"/>
              <w:jc w:val="left"/>
              <w:rPr/>
            </w:pPr>
            <w:r>
              <w:rPr>
                <w:b w:val="false"/>
                <w:sz w:val="18"/>
              </w:rPr>
              <w:t>3</w:t>
            </w:r>
          </w:p>
        </w:tc>
        <w:tc>
          <w:tcPr>
            <w:tcW w:w="1246" w:type="dxa"/>
            <w:tcBorders>
              <w:top w:val="single" w:sz="4" w:space="0" w:color="CCCCCC"/>
              <w:left w:val="single" w:sz="4" w:space="0" w:color="CCCCCC"/>
              <w:bottom w:val="single" w:sz="4" w:space="0" w:color="000000"/>
              <w:right w:val="single" w:sz="4" w:space="0" w:color="000000"/>
            </w:tcBorders>
            <w:shd w:color="auto" w:fill="00FF00" w:val="clear"/>
            <w:vAlign w:val="center"/>
          </w:tcPr>
          <w:p>
            <w:pPr>
              <w:pStyle w:val="Normal"/>
              <w:spacing w:before="0" w:after="160"/>
              <w:jc w:val="left"/>
              <w:rPr/>
            </w:pPr>
            <w:r>
              <w:rPr>
                <w:b w:val="false"/>
                <w:sz w:val="18"/>
              </w:rPr>
              <w:t>4</w:t>
            </w:r>
          </w:p>
        </w:tc>
        <w:tc>
          <w:tcPr>
            <w:tcW w:w="1247" w:type="dxa"/>
            <w:tcBorders>
              <w:top w:val="single" w:sz="4" w:space="0" w:color="CCCCCC"/>
              <w:left w:val="single" w:sz="4" w:space="0" w:color="CCCCCC"/>
              <w:bottom w:val="single" w:sz="4" w:space="0" w:color="000000"/>
              <w:right w:val="single" w:sz="4" w:space="0" w:color="000000"/>
            </w:tcBorders>
            <w:shd w:color="auto" w:fill="FFFF00" w:val="clear"/>
            <w:vAlign w:val="center"/>
          </w:tcPr>
          <w:p>
            <w:pPr>
              <w:pStyle w:val="Normal"/>
              <w:spacing w:before="0" w:after="160"/>
              <w:jc w:val="left"/>
              <w:rPr/>
            </w:pPr>
            <w:r>
              <w:rPr>
                <w:b w:val="false"/>
                <w:sz w:val="18"/>
              </w:rPr>
              <w:t>5</w:t>
            </w:r>
          </w:p>
        </w:tc>
      </w:tr>
      <w:tr>
        <w:trPr>
          <w:trHeight w:val="375" w:hRule="atLeast"/>
        </w:trPr>
        <w:tc>
          <w:tcPr>
            <w:tcW w:w="871" w:type="dxa"/>
            <w:tcBorders>
              <w:top w:val="single" w:sz="4" w:space="0" w:color="000000"/>
            </w:tcBorders>
            <w:shd w:color="auto" w:fill="FFFFFF" w:val="clear"/>
            <w:vAlign w:val="center"/>
          </w:tcPr>
          <w:p>
            <w:pPr>
              <w:pStyle w:val="Normal"/>
              <w:spacing w:before="0" w:after="160"/>
              <w:jc w:val="left"/>
              <w:rPr/>
            </w:pPr>
            <w:r>
              <w:rPr/>
            </w:r>
          </w:p>
        </w:tc>
        <w:tc>
          <w:tcPr>
            <w:tcW w:w="1342" w:type="dxa"/>
            <w:tcBorders>
              <w:top w:val="single" w:sz="4" w:space="0" w:color="000000"/>
            </w:tcBorders>
            <w:shd w:color="auto" w:fill="FFFFFF" w:val="clear"/>
            <w:vAlign w:val="center"/>
          </w:tcPr>
          <w:p>
            <w:pPr>
              <w:pStyle w:val="Normal"/>
              <w:spacing w:before="0" w:after="160"/>
              <w:jc w:val="left"/>
              <w:rPr/>
            </w:pPr>
            <w:r>
              <w:rPr/>
            </w:r>
          </w:p>
        </w:tc>
        <w:tc>
          <w:tcPr>
            <w:tcW w:w="576" w:type="dxa"/>
            <w:tcBorders>
              <w:top w:val="single" w:sz="4" w:space="0" w:color="000000"/>
              <w:right w:val="single" w:sz="4" w:space="0" w:color="000000"/>
            </w:tcBorders>
            <w:shd w:color="auto" w:fill="FFFFFF" w:val="clear"/>
            <w:vAlign w:val="center"/>
          </w:tcPr>
          <w:p>
            <w:pPr>
              <w:pStyle w:val="Normal"/>
              <w:spacing w:before="0" w:after="160"/>
              <w:jc w:val="left"/>
              <w:rPr/>
            </w:pPr>
            <w:r>
              <w:rPr/>
            </w:r>
          </w:p>
        </w:tc>
        <w:tc>
          <w:tcPr>
            <w:tcW w:w="124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1</w:t>
            </w:r>
          </w:p>
        </w:tc>
        <w:tc>
          <w:tcPr>
            <w:tcW w:w="124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2</w:t>
            </w:r>
          </w:p>
        </w:tc>
        <w:tc>
          <w:tcPr>
            <w:tcW w:w="124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3</w:t>
            </w:r>
          </w:p>
        </w:tc>
        <w:tc>
          <w:tcPr>
            <w:tcW w:w="124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4</w:t>
            </w:r>
          </w:p>
        </w:tc>
        <w:tc>
          <w:tcPr>
            <w:tcW w:w="124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left"/>
              <w:rPr/>
            </w:pPr>
            <w:r>
              <w:rPr>
                <w:b w:val="false"/>
                <w:sz w:val="18"/>
              </w:rPr>
              <w:t>5</w:t>
            </w:r>
          </w:p>
        </w:tc>
      </w:tr>
      <w:tr>
        <w:trPr>
          <w:trHeight w:val="300" w:hRule="atLeast"/>
        </w:trPr>
        <w:tc>
          <w:tcPr>
            <w:tcW w:w="871" w:type="dxa"/>
            <w:tcBorders/>
            <w:shd w:color="auto" w:fill="FFFFFF" w:val="clear"/>
            <w:vAlign w:val="center"/>
          </w:tcPr>
          <w:p>
            <w:pPr>
              <w:pStyle w:val="Normal"/>
              <w:spacing w:before="0" w:after="160"/>
              <w:jc w:val="left"/>
              <w:rPr/>
            </w:pPr>
            <w:r>
              <w:rPr/>
            </w:r>
          </w:p>
        </w:tc>
        <w:tc>
          <w:tcPr>
            <w:tcW w:w="1342" w:type="dxa"/>
            <w:tcBorders/>
            <w:shd w:color="auto" w:fill="FFFFFF" w:val="clear"/>
            <w:vAlign w:val="center"/>
          </w:tcPr>
          <w:p>
            <w:pPr>
              <w:pStyle w:val="Normal"/>
              <w:spacing w:before="0" w:after="160"/>
              <w:jc w:val="left"/>
              <w:rPr/>
            </w:pPr>
            <w:r>
              <w:rPr/>
            </w:r>
          </w:p>
        </w:tc>
        <w:tc>
          <w:tcPr>
            <w:tcW w:w="576" w:type="dxa"/>
            <w:tcBorders>
              <w:right w:val="single" w:sz="4" w:space="0" w:color="000000"/>
            </w:tcBorders>
            <w:shd w:color="auto" w:fill="FFFFFF" w:val="clear"/>
            <w:vAlign w:val="center"/>
          </w:tcPr>
          <w:p>
            <w:pPr>
              <w:pStyle w:val="Normal"/>
              <w:spacing w:before="0" w:after="160"/>
              <w:jc w:val="left"/>
              <w:rPr/>
            </w:pPr>
            <w:r>
              <w:rPr/>
            </w:r>
          </w:p>
        </w:tc>
        <w:tc>
          <w:tcPr>
            <w:tcW w:w="124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Remote</w:t>
            </w:r>
          </w:p>
        </w:tc>
        <w:tc>
          <w:tcPr>
            <w:tcW w:w="124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Unlikely</w:t>
            </w:r>
          </w:p>
        </w:tc>
        <w:tc>
          <w:tcPr>
            <w:tcW w:w="124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Possible</w:t>
            </w:r>
          </w:p>
        </w:tc>
        <w:tc>
          <w:tcPr>
            <w:tcW w:w="124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Probable</w:t>
            </w:r>
          </w:p>
        </w:tc>
        <w:tc>
          <w:tcPr>
            <w:tcW w:w="124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0" w:after="160"/>
              <w:jc w:val="left"/>
              <w:rPr/>
            </w:pPr>
            <w:r>
              <w:rPr>
                <w:b w:val="false"/>
                <w:sz w:val="18"/>
              </w:rPr>
              <w:t>Highly Probable</w:t>
            </w:r>
          </w:p>
        </w:tc>
      </w:tr>
      <w:tr>
        <w:trPr>
          <w:trHeight w:val="300" w:hRule="atLeast"/>
        </w:trPr>
        <w:tc>
          <w:tcPr>
            <w:tcW w:w="871" w:type="dxa"/>
            <w:tcBorders/>
            <w:shd w:color="auto" w:fill="FFFFFF" w:val="clear"/>
            <w:vAlign w:val="center"/>
          </w:tcPr>
          <w:p>
            <w:pPr>
              <w:pStyle w:val="Normal"/>
              <w:spacing w:before="0" w:after="160"/>
              <w:jc w:val="left"/>
              <w:rPr/>
            </w:pPr>
            <w:r>
              <w:rPr/>
            </w:r>
          </w:p>
        </w:tc>
        <w:tc>
          <w:tcPr>
            <w:tcW w:w="1342" w:type="dxa"/>
            <w:tcBorders/>
            <w:shd w:color="auto" w:fill="FFFFFF" w:val="clear"/>
            <w:vAlign w:val="center"/>
          </w:tcPr>
          <w:p>
            <w:pPr>
              <w:pStyle w:val="Normal"/>
              <w:spacing w:before="0" w:after="160"/>
              <w:jc w:val="left"/>
              <w:rPr/>
            </w:pPr>
            <w:r>
              <w:rPr/>
            </w:r>
          </w:p>
        </w:tc>
        <w:tc>
          <w:tcPr>
            <w:tcW w:w="576" w:type="dxa"/>
            <w:tcBorders>
              <w:right w:val="single" w:sz="4" w:space="0" w:color="000000"/>
            </w:tcBorders>
            <w:shd w:color="auto" w:fill="FFFFFF" w:val="clear"/>
            <w:vAlign w:val="center"/>
          </w:tcPr>
          <w:p>
            <w:pPr>
              <w:pStyle w:val="Normal"/>
              <w:spacing w:before="0" w:after="160"/>
              <w:jc w:val="left"/>
              <w:rPr/>
            </w:pPr>
            <w:r>
              <w:rPr/>
            </w:r>
          </w:p>
        </w:tc>
        <w:tc>
          <w:tcPr>
            <w:tcW w:w="623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0" w:after="160"/>
              <w:jc w:val="left"/>
              <w:rPr/>
            </w:pPr>
            <w:r>
              <w:rPr>
                <w:b w:val="false"/>
                <w:sz w:val="18"/>
              </w:rPr>
              <w:t>LIKELIHOOD</w:t>
            </w:r>
          </w:p>
        </w:tc>
      </w:tr>
    </w:tbl>
    <w:p>
      <w:pPr>
        <w:pStyle w:val="Normal"/>
        <w:rPr/>
      </w:pPr>
      <w:r>
        <w:rPr/>
      </w:r>
    </w:p>
    <w:p>
      <w:pPr>
        <w:pStyle w:val="Normal"/>
        <w:numPr>
          <w:ilvl w:val="0"/>
          <w:numId w:val="4"/>
        </w:numPr>
        <w:pBdr/>
        <w:spacing w:before="0" w:after="0"/>
        <w:rPr/>
      </w:pPr>
      <w:r>
        <w:rPr>
          <w:sz w:val="20"/>
        </w:rPr>
        <w:t>Red: Critical risks with scores from 16 to 25 require immediate action and cannot be accepted without appropriate treatment or transfer.</w:t>
      </w:r>
    </w:p>
    <w:p>
      <w:pPr>
        <w:pStyle w:val="Normal"/>
        <w:numPr>
          <w:ilvl w:val="0"/>
          <w:numId w:val="4"/>
        </w:numPr>
        <w:pBdr/>
        <w:spacing w:before="0" w:after="0"/>
        <w:rPr/>
      </w:pPr>
      <w:r>
        <w:rPr>
          <w:sz w:val="20"/>
        </w:rPr>
        <w:t>Amber: High risks with scores from 11 to 15 require a documented treatment plan and management oversight.</w:t>
      </w:r>
    </w:p>
    <w:p>
      <w:pPr>
        <w:pStyle w:val="Normal"/>
        <w:numPr>
          <w:ilvl w:val="0"/>
          <w:numId w:val="4"/>
        </w:numPr>
        <w:pBdr/>
        <w:spacing w:before="0" w:after="0"/>
        <w:rPr/>
      </w:pPr>
      <w:r>
        <w:rPr>
          <w:sz w:val="20"/>
        </w:rPr>
        <w:t>Yellow: Medium risks with scores from 5 to 10 require treatment or documented management acceptance where justified by the acceptance criteria.</w:t>
      </w:r>
    </w:p>
    <w:p>
      <w:pPr>
        <w:pStyle w:val="Normal"/>
        <w:numPr>
          <w:ilvl w:val="0"/>
          <w:numId w:val="4"/>
        </w:numPr>
        <w:pBdr/>
        <w:rPr/>
      </w:pPr>
      <w:r>
        <w:rPr>
          <w:sz w:val="20"/>
        </w:rPr>
        <w:t>Green: Low risks with scores from 1 to 4 may be accepted with appropriate monitoring and periodic review.</w:t>
      </w:r>
    </w:p>
    <w:p>
      <w:pPr>
        <w:pStyle w:val="Heading1"/>
        <w:rPr/>
      </w:pPr>
      <w:r>
        <w:rPr>
          <w:rFonts w:ascii="Aptos" w:hAnsi="Aptos"/>
          <w:sz w:val="20"/>
        </w:rPr>
        <w:t>Risk Mitigation</w:t>
      </w:r>
    </w:p>
    <w:p>
      <w:pPr>
        <w:pStyle w:val="Normal"/>
        <w:rPr/>
      </w:pPr>
      <w:r>
        <w:rPr>
          <w:sz w:val="20"/>
        </w:rPr>
        <w:t>The Information Security function develops and coordinates treatment actions for prioritised risks. Four treatment options are available:</w:t>
      </w:r>
    </w:p>
    <w:p>
      <w:pPr>
        <w:pStyle w:val="Normal"/>
        <w:numPr>
          <w:ilvl w:val="0"/>
          <w:numId w:val="5"/>
        </w:numPr>
        <w:spacing w:before="0" w:after="0"/>
        <w:rPr/>
      </w:pPr>
      <w:r>
        <w:rPr>
          <w:sz w:val="20"/>
        </w:rPr>
        <w:t>Accept: Retain the risk when it falls within the approved acceptance criteria and the decision is documented and authorised.</w:t>
      </w:r>
    </w:p>
    <w:p>
      <w:pPr>
        <w:pStyle w:val="Normal"/>
        <w:numPr>
          <w:ilvl w:val="0"/>
          <w:numId w:val="5"/>
        </w:numPr>
        <w:spacing w:before="0" w:after="0"/>
        <w:rPr/>
      </w:pPr>
      <w:r>
        <w:rPr>
          <w:sz w:val="20"/>
        </w:rPr>
        <w:t>Avoid: Change or discontinue the activity, process, or approach that creates the risk where avoidance is practical.</w:t>
      </w:r>
    </w:p>
    <w:p>
      <w:pPr>
        <w:pStyle w:val="Normal"/>
        <w:numPr>
          <w:ilvl w:val="0"/>
          <w:numId w:val="5"/>
        </w:numPr>
        <w:spacing w:before="0" w:after="0"/>
        <w:rPr/>
      </w:pPr>
      <w:r>
        <w:rPr>
          <w:sz w:val="20"/>
        </w:rPr>
        <w:t>Transfer: Share the risk with an appropriate third party through an approved contractual, service, insurance, or outsourcing arrangement where applicable.</w:t>
      </w:r>
    </w:p>
    <w:p>
      <w:pPr>
        <w:pStyle w:val="Normal"/>
        <w:numPr>
          <w:ilvl w:val="0"/>
          <w:numId w:val="5"/>
        </w:numPr>
        <w:rPr/>
      </w:pPr>
      <w:r>
        <w:rPr>
          <w:sz w:val="20"/>
        </w:rPr>
        <w:t>Mitigate: Apply appropriate administrative, technical, or physical measures to reduce likelihood and/or impact to an acceptable level.</w:t>
      </w:r>
    </w:p>
    <w:p>
      <w:pPr>
        <w:pStyle w:val="Normal"/>
        <w:rPr/>
      </w:pPr>
      <w:r>
        <w:rPr>
          <w:sz w:val="20"/>
        </w:rPr>
        <w:t>Treatment plans are assigned to risk owners, monitored by Information Security, and reviewed until the residual risk is within the bank's approved risk appetite or a formally authorised exception is recorded.</w:t>
      </w:r>
    </w:p>
    <w:p>
      <w:pPr>
        <w:pStyle w:val="Normal"/>
        <w:rPr/>
      </w:pPr>
      <w:r>
        <w:rPr>
          <w:sz w:val="20"/>
        </w:rPr>
        <w:t>The risk log records the selected treatment option, responsible owner, target actions, status, residual risk, and relevant evidence.</w:t>
      </w:r>
    </w:p>
    <w:p>
      <w:pPr>
        <w:pStyle w:val="Normal"/>
        <w:rPr>
          <w:rStyle w:val="hljs-section"/>
        </w:rPr>
      </w:pPr>
      <w:r>
        <w:rPr>
          <w:sz w:val="20"/>
        </w:rPr>
        <w:t>Every treatment decision is justified using the assessed risk, business context, regulatory requirements, risk appetite, and expected reduction in likelihood or impact.</w:t>
      </w:r>
    </w:p>
    <w:p>
      <w:pPr>
        <w:pStyle w:val="Normal"/>
        <w:rPr>
          <w:rStyle w:val="hljs-section"/>
          <w:b/>
          <w:bCs/>
          <w:u w:val="single"/>
        </w:rPr>
      </w:pPr>
      <w:r>
        <w:rPr>
          <w:rStyle w:val="hljs-section"/>
          <w:b/>
          <w:bCs/>
          <w:sz w:val="20"/>
          <w:u w:val="single"/>
        </w:rPr>
        <w:t>Documentation</w:t>
      </w:r>
    </w:p>
    <w:tbl>
      <w:tblPr>
        <w:tblStyle w:val="GridTable4-Accent4"/>
        <w:tblW w:w="90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95"/>
        <w:gridCol w:w="7320"/>
      </w:tblGrid>
      <w:tr>
        <w:trPr>
          <w:cnfStyle w:val="100000000000" w:firstRow="1" w:lastRow="0" w:firstColumn="0" w:lastColumn="0" w:oddVBand="0" w:evenVBand="0" w:oddHBand="0" w:evenHBand="0" w:firstRowFirstColumn="0" w:firstRowLastColumn="0" w:lastRowFirstColumn="0" w:lastRowLastColumn="0"/>
        </w:trPr>
        <w:tc>
          <w:tcPr>
            <w:tcW w:w="1695" w:type="dxa"/>
            <w:cnfStyle w:val="001000000000" w:firstRow="0" w:lastRow="0" w:firstColumn="1" w:lastColumn="0" w:oddVBand="0" w:evenVBand="0" w:oddHBand="0" w:evenHBand="0" w:firstRowFirstColumn="0" w:firstRowLastColumn="0" w:lastRowFirstColumn="0" w:lastRowLastColumn="0"/>
            <w:tcBorders>
              <w:top w:val="single" w:sz="4" w:space="0" w:color="0F9ED5"/>
              <w:left w:val="single" w:sz="4" w:space="0" w:color="0F9ED5"/>
              <w:bottom w:val="single" w:sz="4" w:space="0" w:color="0F9ED5"/>
              <w:right w:val="single" w:sz="4" w:space="0" w:color="0F9ED5"/>
            </w:tcBorders>
            <w:shd w:color="auto" w:fill="0F9ED5" w:themeFill="accent4" w:val="clear"/>
          </w:tcPr>
          <w:p>
            <w:pPr>
              <w:pStyle w:val="Normal"/>
              <w:widowControl/>
              <w:spacing w:lineRule="auto" w:line="240" w:before="0" w:after="0"/>
              <w:jc w:val="left"/>
              <w:rPr>
                <w:rStyle w:val="hljs-section"/>
              </w:rPr>
            </w:pPr>
            <w:r>
              <w:rPr>
                <w:rStyle w:val="hljs-strong"/>
                <w:rFonts w:eastAsia="" w:cs=""/>
                <w:b/>
                <w:bCs/>
                <w:color w:themeColor="background1" w:val="FFFFFF"/>
                <w:kern w:val="0"/>
                <w:sz w:val="18"/>
                <w:szCs w:val="22"/>
                <w:lang w:val="en-GB" w:eastAsia="en-GB" w:bidi="ar-SA"/>
              </w:rPr>
              <w:t>Accept</w:t>
            </w:r>
          </w:p>
        </w:tc>
        <w:tc>
          <w:tcPr>
            <w:tcW w:w="7320" w:type="dxa"/>
            <w:tcBorders>
              <w:top w:val="single" w:sz="4" w:space="0" w:color="0F9ED5"/>
              <w:left w:val="single" w:sz="4" w:space="0" w:color="0F9ED5"/>
              <w:bottom w:val="single" w:sz="4" w:space="0" w:color="0F9ED5"/>
              <w:right w:val="single" w:sz="4" w:space="0" w:color="0F9ED5"/>
            </w:tcBorders>
            <w:shd w:color="auto" w:fill="0F9ED5" w:themeFill="accent4" w:val="clear"/>
            <w:vAlign w:val="center"/>
          </w:tcPr>
          <w:p>
            <w:pPr>
              <w:pStyle w:val="Normal"/>
              <w:widowControl/>
              <w:spacing w:lineRule="auto" w:line="240" w:before="0" w:after="0"/>
              <w:jc w:val="left"/>
              <w:rPr>
                <w:rFonts w:ascii="Aptos" w:hAnsi="Aptos" w:eastAsia="" w:cs=""/>
                <w:b/>
                <w:bCs/>
                <w:color w:themeColor="background1" w:val="FFFFFF"/>
                <w:kern w:val="0"/>
                <w:sz w:val="22"/>
                <w:szCs w:val="22"/>
                <w:lang w:val="en-GB" w:eastAsia="en-GB" w:bidi="ar-SA"/>
              </w:rPr>
            </w:pPr>
            <w:r>
              <w:rPr>
                <w:rFonts w:eastAsia="" w:cs=""/>
                <w:b w:val="false"/>
                <w:bCs/>
                <w:color w:themeColor="background1" w:val="FFFFFF"/>
                <w:kern w:val="0"/>
                <w:sz w:val="18"/>
                <w:szCs w:val="22"/>
                <w:lang w:val="en-GB" w:eastAsia="en-GB" w:bidi="ar-SA"/>
              </w:rPr>
              <w:t>Document the business justification, assessed residual risk, risk owner approval, and management authority for retaining the risk.</w:t>
            </w:r>
          </w:p>
        </w:tc>
      </w:tr>
      <w:tr>
        <w:trPr>
          <w:cnfStyle w:val="000000100000" w:firstRow="0" w:lastRow="0" w:firstColumn="0" w:lastColumn="0" w:oddVBand="0" w:evenVBand="0" w:oddHBand="1" w:evenHBand="0" w:firstRowFirstColumn="0" w:firstRowLastColumn="0" w:lastRowFirstColumn="0" w:lastRowLastColumn="0"/>
        </w:trPr>
        <w:tc>
          <w:tcPr>
            <w:tcW w:w="1695" w:type="dxa"/>
            <w:cnfStyle w:val="001000000000" w:firstRow="0" w:lastRow="0" w:firstColumn="1" w:lastColumn="0" w:oddVBand="0" w:evenVBand="0" w:oddHBand="0" w:evenHBand="0" w:firstRowFirstColumn="0" w:firstRowLastColumn="0" w:lastRowFirstColumn="0" w:lastRowLastColumn="0"/>
            <w:tcBorders/>
            <w:shd w:color="auto" w:fill="CAEDFB" w:themeFill="accent4" w:themeFillTint="33" w:val="clear"/>
          </w:tcPr>
          <w:p>
            <w:pPr>
              <w:pStyle w:val="Normal"/>
              <w:widowControl/>
              <w:spacing w:lineRule="auto" w:line="240" w:before="0" w:after="0"/>
              <w:jc w:val="left"/>
              <w:rPr>
                <w:rStyle w:val="hljs-section"/>
              </w:rPr>
            </w:pPr>
            <w:r>
              <w:rPr>
                <w:rStyle w:val="hljs-strong"/>
                <w:rFonts w:eastAsia="" w:cs=""/>
                <w:b/>
                <w:bCs/>
                <w:kern w:val="0"/>
                <w:sz w:val="18"/>
                <w:szCs w:val="22"/>
                <w:lang w:val="en-GB" w:eastAsia="en-GB" w:bidi="ar-SA"/>
              </w:rPr>
              <w:t>Avoid</w:t>
            </w:r>
          </w:p>
        </w:tc>
        <w:tc>
          <w:tcPr>
            <w:tcW w:w="7320" w:type="dxa"/>
            <w:tcBorders/>
            <w:shd w:color="auto" w:fill="CAEDFB" w:themeFill="accent4" w:themeFillTint="33" w:val="clear"/>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Document the activity, process, or approach changed or discontinued to remove the identified risk.</w:t>
            </w:r>
          </w:p>
        </w:tc>
      </w:tr>
      <w:tr>
        <w:trPr/>
        <w:tc>
          <w:tcPr>
            <w:tcW w:w="1695"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Style w:val="hljs-section"/>
              </w:rPr>
            </w:pPr>
            <w:r>
              <w:rPr>
                <w:rStyle w:val="hljs-strong"/>
                <w:rFonts w:eastAsia="" w:cs=""/>
                <w:b/>
                <w:bCs/>
                <w:kern w:val="0"/>
                <w:sz w:val="18"/>
                <w:szCs w:val="22"/>
                <w:lang w:val="en-GB" w:eastAsia="en-GB" w:bidi="ar-SA"/>
              </w:rPr>
              <w:t>Transfer</w:t>
            </w:r>
          </w:p>
        </w:tc>
        <w:tc>
          <w:tcPr>
            <w:tcW w:w="7320" w:type="dxa"/>
            <w:tcBorders/>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Document the approved third-party arrangement, contractual responsibilities, and how the transferred risk will be monitored.</w:t>
            </w:r>
          </w:p>
        </w:tc>
      </w:tr>
      <w:tr>
        <w:trPr>
          <w:cnfStyle w:val="000000100000" w:firstRow="0" w:lastRow="0" w:firstColumn="0" w:lastColumn="0" w:oddVBand="0" w:evenVBand="0" w:oddHBand="1" w:evenHBand="0" w:firstRowFirstColumn="0" w:firstRowLastColumn="0" w:lastRowFirstColumn="0" w:lastRowLastColumn="0"/>
        </w:trPr>
        <w:tc>
          <w:tcPr>
            <w:tcW w:w="1695" w:type="dxa"/>
            <w:cnfStyle w:val="001000000000" w:firstRow="0" w:lastRow="0" w:firstColumn="1" w:lastColumn="0" w:oddVBand="0" w:evenVBand="0" w:oddHBand="0" w:evenHBand="0" w:firstRowFirstColumn="0" w:firstRowLastColumn="0" w:lastRowFirstColumn="0" w:lastRowLastColumn="0"/>
            <w:tcBorders/>
            <w:shd w:color="auto" w:fill="CAEDFB" w:themeFill="accent4" w:themeFillTint="33" w:val="clear"/>
          </w:tcPr>
          <w:p>
            <w:pPr>
              <w:pStyle w:val="Normal"/>
              <w:widowControl/>
              <w:spacing w:lineRule="auto" w:line="240" w:before="0" w:after="0"/>
              <w:jc w:val="left"/>
              <w:rPr>
                <w:rStyle w:val="hljs-section"/>
              </w:rPr>
            </w:pPr>
            <w:r>
              <w:rPr>
                <w:rStyle w:val="hljs-strong"/>
                <w:rFonts w:eastAsia="" w:cs=""/>
                <w:b/>
                <w:bCs/>
                <w:kern w:val="0"/>
                <w:sz w:val="18"/>
                <w:szCs w:val="22"/>
                <w:lang w:val="en-GB" w:eastAsia="en-GB" w:bidi="ar-SA"/>
              </w:rPr>
              <w:t>Mitigate</w:t>
            </w:r>
          </w:p>
        </w:tc>
        <w:tc>
          <w:tcPr>
            <w:tcW w:w="7320" w:type="dxa"/>
            <w:tcBorders/>
            <w:shd w:color="auto" w:fill="CAEDFB" w:themeFill="accent4" w:themeFillTint="33" w:val="clear"/>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Document the controls and actions used to reduce likelihood or impact, together with the responsible owner and review evidence.</w:t>
            </w:r>
          </w:p>
        </w:tc>
      </w:tr>
    </w:tbl>
    <w:p>
      <w:pPr>
        <w:pStyle w:val="Normal"/>
        <w:rPr/>
      </w:pPr>
      <w:r>
        <w:rPr/>
      </w:r>
    </w:p>
    <w:p>
      <w:pPr>
        <w:pStyle w:val="Normal"/>
        <w:rPr/>
      </w:pPr>
      <w:r>
        <w:rPr>
          <w:sz w:val="20"/>
        </w:rPr>
        <w:t>Risk treatment decisions are recorded in the risk log, approved by the relevant risk owner, and reviewed by the Information Security function before closure or formal acceptance.</w:t>
      </w:r>
    </w:p>
    <w:p>
      <w:pPr>
        <w:pStyle w:val="Heading2"/>
        <w:rPr/>
      </w:pPr>
      <w:r>
        <w:rPr>
          <w:rFonts w:ascii="Aptos" w:hAnsi="Aptos"/>
          <w:sz w:val="20"/>
        </w:rPr>
        <w:t>Risk Acceptance Criteria</w:t>
      </w:r>
    </w:p>
    <w:p>
      <w:pPr>
        <w:pStyle w:val="Normal"/>
        <w:rPr/>
      </w:pPr>
      <w:r>
        <w:rPr>
          <w:sz w:val="20"/>
        </w:rPr>
        <w:t>Risk acceptance criteria define the level of risk that Al-Afaq Digital Bank is willing to retain without additional treatment, subject to management authority and documented justification.</w:t>
      </w:r>
    </w:p>
    <w:p>
      <w:pPr>
        <w:pStyle w:val="Normal"/>
        <w:rPr/>
      </w:pPr>
      <w:r>
        <w:rPr>
          <w:sz w:val="20"/>
        </w:rPr>
        <w:t>The criteria are applied consistently and are reviewed by the Information Security function and relevant management in accordance with the bank's risk governance arrangements.</w:t>
      </w:r>
    </w:p>
    <w:p>
      <w:pPr>
        <w:pStyle w:val="Normal"/>
        <w:rPr>
          <w:b/>
          <w:bCs/>
          <w:u w:val="single"/>
        </w:rPr>
      </w:pPr>
      <w:r>
        <w:rPr>
          <w:rStyle w:val="hljs-section"/>
          <w:b/>
          <w:bCs/>
          <w:sz w:val="20"/>
          <w:u w:val="single"/>
        </w:rPr>
        <w:t>Criteria</w:t>
      </w:r>
    </w:p>
    <w:tbl>
      <w:tblPr>
        <w:tblStyle w:val="ListTable4-Accent4"/>
        <w:tblW w:w="5000" w:type="pct"/>
        <w:jc w:val="center"/>
        <w:tblInd w:w="0" w:type="dxa"/>
        <w:tblLayout w:type="fixed"/>
        <w:tblCellMar>
          <w:top w:w="0" w:type="dxa"/>
          <w:left w:w="108" w:type="dxa"/>
          <w:bottom w:w="0" w:type="dxa"/>
          <w:right w:w="108" w:type="dxa"/>
        </w:tblCellMar>
        <w:tblLook w:val="0480" w:noHBand="0" w:noVBand="1" w:firstColumn="1" w:lastRow="0" w:lastColumn="0" w:firstRow="0"/>
      </w:tblPr>
      <w:tblGrid>
        <w:gridCol w:w="3400"/>
        <w:gridCol w:w="5625"/>
      </w:tblGrid>
      <w:tr>
        <w:trPr>
          <w:cnfStyle w:val="000000100000" w:firstRow="0" w:lastRow="0" w:firstColumn="0" w:lastColumn="0" w:oddVBand="0" w:evenVBand="0" w:oddHBand="1" w:evenHBand="0" w:firstRowFirstColumn="0" w:firstRowLastColumn="0" w:lastRowFirstColumn="0" w:lastRowLastColumn="0"/>
        </w:trPr>
        <w:tc>
          <w:tcPr>
            <w:tcW w:w="3400" w:type="dxa"/>
            <w:cnfStyle w:val="001000000000" w:firstRow="0" w:lastRow="0" w:firstColumn="1" w:lastColumn="0" w:oddVBand="0" w:evenVBand="0" w:oddHBand="0" w:evenHBand="0" w:firstRowFirstColumn="0" w:firstRowLastColumn="0" w:lastRowFirstColumn="0" w:lastRowLastColumn="0"/>
            <w:tcBorders>
              <w:right w:val="nil"/>
            </w:tcBorders>
            <w:shd w:color="auto" w:fill="CAEDFB" w:themeFill="accent4" w:themeFillTint="33" w:val="clear"/>
            <w:vAlign w:val="center"/>
          </w:tcPr>
          <w:p>
            <w:pPr>
              <w:pStyle w:val="Normal"/>
              <w:widowControl/>
              <w:spacing w:lineRule="auto" w:line="240" w:before="0" w:after="0"/>
              <w:jc w:val="left"/>
              <w:rPr>
                <w:rFonts w:ascii="Aptos" w:hAnsi="Aptos" w:eastAsia="" w:cs=""/>
                <w:b/>
                <w:bCs/>
                <w:kern w:val="0"/>
                <w:sz w:val="22"/>
                <w:szCs w:val="22"/>
                <w:lang w:val="en-GB" w:eastAsia="en-GB" w:bidi="ar-SA"/>
              </w:rPr>
            </w:pPr>
            <w:r>
              <w:rPr>
                <w:rFonts w:eastAsia="" w:cs=""/>
                <w:b w:val="false"/>
                <w:bCs/>
                <w:kern w:val="0"/>
                <w:sz w:val="18"/>
                <w:szCs w:val="22"/>
                <w:lang w:val="en-GB" w:eastAsia="en-GB" w:bidi="ar-SA"/>
              </w:rPr>
              <w:t>Low Risks (Score 1-4)</w:t>
            </w:r>
          </w:p>
        </w:tc>
        <w:tc>
          <w:tcPr>
            <w:tcW w:w="5625" w:type="dxa"/>
            <w:tcBorders>
              <w:left w:val="nil"/>
            </w:tcBorders>
            <w:shd w:color="auto" w:fill="CAEDFB" w:themeFill="accent4" w:themeFillTint="33" w:val="clear"/>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Acceptable when documented and monitored. Routine review is required.</w:t>
            </w:r>
          </w:p>
        </w:tc>
      </w:tr>
      <w:tr>
        <w:trPr/>
        <w:tc>
          <w:tcPr>
            <w:tcW w:w="3400"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pacing w:lineRule="auto" w:line="240" w:before="0" w:after="0"/>
              <w:jc w:val="left"/>
              <w:rPr>
                <w:rFonts w:ascii="Aptos" w:hAnsi="Aptos" w:eastAsia="" w:cs=""/>
                <w:b/>
                <w:bCs/>
                <w:kern w:val="0"/>
                <w:sz w:val="22"/>
                <w:szCs w:val="22"/>
                <w:lang w:val="en-GB" w:eastAsia="en-GB" w:bidi="ar-SA"/>
              </w:rPr>
            </w:pPr>
            <w:r>
              <w:rPr>
                <w:rFonts w:eastAsia="" w:cs=""/>
                <w:b w:val="false"/>
                <w:bCs/>
                <w:kern w:val="0"/>
                <w:sz w:val="18"/>
                <w:szCs w:val="22"/>
                <w:lang w:val="en-GB" w:eastAsia="en-GB" w:bidi="ar-SA"/>
              </w:rPr>
              <w:t>Medium Risks (Score 5-10)</w:t>
            </w:r>
          </w:p>
        </w:tc>
        <w:tc>
          <w:tcPr>
            <w:tcW w:w="5625" w:type="dxa"/>
            <w:tcBorders>
              <w:left w:val="nil"/>
            </w:tcBorders>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Treatment is normally required. Acceptance may be considered when justified by cost, benefit, business context, and management approval.</w:t>
            </w:r>
          </w:p>
        </w:tc>
      </w:tr>
      <w:tr>
        <w:trPr>
          <w:cnfStyle w:val="000000100000" w:firstRow="0" w:lastRow="0" w:firstColumn="0" w:lastColumn="0" w:oddVBand="0" w:evenVBand="0" w:oddHBand="1" w:evenHBand="0" w:firstRowFirstColumn="0" w:firstRowLastColumn="0" w:lastRowFirstColumn="0" w:lastRowLastColumn="0"/>
        </w:trPr>
        <w:tc>
          <w:tcPr>
            <w:tcW w:w="3400" w:type="dxa"/>
            <w:cnfStyle w:val="001000000000" w:firstRow="0" w:lastRow="0" w:firstColumn="1" w:lastColumn="0" w:oddVBand="0" w:evenVBand="0" w:oddHBand="0" w:evenHBand="0" w:firstRowFirstColumn="0" w:firstRowLastColumn="0" w:lastRowFirstColumn="0" w:lastRowLastColumn="0"/>
            <w:tcBorders>
              <w:right w:val="nil"/>
            </w:tcBorders>
            <w:shd w:color="auto" w:fill="CAEDFB" w:themeFill="accent4" w:themeFillTint="33" w:val="clear"/>
            <w:vAlign w:val="center"/>
          </w:tcPr>
          <w:p>
            <w:pPr>
              <w:pStyle w:val="Normal"/>
              <w:widowControl/>
              <w:spacing w:lineRule="auto" w:line="240" w:before="0" w:after="0"/>
              <w:jc w:val="left"/>
              <w:rPr>
                <w:rFonts w:ascii="Aptos" w:hAnsi="Aptos" w:eastAsia="" w:cs=""/>
                <w:b/>
                <w:bCs/>
                <w:kern w:val="0"/>
                <w:sz w:val="22"/>
                <w:szCs w:val="22"/>
                <w:lang w:val="en-GB" w:eastAsia="en-GB" w:bidi="ar-SA"/>
              </w:rPr>
            </w:pPr>
            <w:r>
              <w:rPr>
                <w:rFonts w:eastAsia="" w:cs=""/>
                <w:b w:val="false"/>
                <w:bCs/>
                <w:kern w:val="0"/>
                <w:sz w:val="18"/>
                <w:szCs w:val="22"/>
                <w:lang w:val="en-GB" w:eastAsia="en-GB" w:bidi="ar-SA"/>
              </w:rPr>
              <w:t>High Risks (Score 11-15)</w:t>
            </w:r>
          </w:p>
        </w:tc>
        <w:tc>
          <w:tcPr>
            <w:tcW w:w="5625" w:type="dxa"/>
            <w:tcBorders>
              <w:left w:val="nil"/>
            </w:tcBorders>
            <w:shd w:color="auto" w:fill="CAEDFB" w:themeFill="accent4" w:themeFillTint="33" w:val="clear"/>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Require documented treatment to reduce the risk to an acceptable level. Acceptance requires exceptional management justification and approval.</w:t>
            </w:r>
          </w:p>
        </w:tc>
      </w:tr>
      <w:tr>
        <w:trPr/>
        <w:tc>
          <w:tcPr>
            <w:tcW w:w="3400" w:type="dxa"/>
            <w:cnfStyle w:val="001000000000" w:firstRow="0" w:lastRow="0" w:firstColumn="1" w:lastColumn="0" w:oddVBand="0" w:evenVBand="0" w:oddHBand="0" w:evenHBand="0" w:firstRowFirstColumn="0" w:firstRowLastColumn="0" w:lastRowFirstColumn="0" w:lastRowLastColumn="0"/>
            <w:tcBorders>
              <w:right w:val="nil"/>
            </w:tcBorders>
            <w:vAlign w:val="center"/>
          </w:tcPr>
          <w:p>
            <w:pPr>
              <w:pStyle w:val="Normal"/>
              <w:widowControl/>
              <w:spacing w:lineRule="auto" w:line="240" w:before="0" w:after="0"/>
              <w:jc w:val="left"/>
              <w:rPr>
                <w:rFonts w:ascii="Aptos" w:hAnsi="Aptos" w:eastAsia="" w:cs=""/>
                <w:b/>
                <w:bCs/>
                <w:kern w:val="0"/>
                <w:sz w:val="22"/>
                <w:szCs w:val="22"/>
                <w:lang w:val="en-GB" w:eastAsia="en-GB" w:bidi="ar-SA"/>
              </w:rPr>
            </w:pPr>
            <w:r>
              <w:rPr>
                <w:rFonts w:eastAsia="" w:cs=""/>
                <w:b w:val="false"/>
                <w:bCs/>
                <w:kern w:val="0"/>
                <w:sz w:val="18"/>
                <w:szCs w:val="22"/>
                <w:lang w:val="en-GB" w:eastAsia="en-GB" w:bidi="ar-SA"/>
              </w:rPr>
              <w:t>Critical Risks (Score 16-25)</w:t>
            </w:r>
          </w:p>
        </w:tc>
        <w:tc>
          <w:tcPr>
            <w:tcW w:w="5625" w:type="dxa"/>
            <w:tcBorders>
              <w:left w:val="nil"/>
            </w:tcBorders>
            <w:vAlign w:val="center"/>
          </w:tcPr>
          <w:p>
            <w:pPr>
              <w:pStyle w:val="Normal"/>
              <w:widowControl/>
              <w:spacing w:lineRule="auto" w:line="240" w:before="0" w:after="0"/>
              <w:jc w:val="left"/>
              <w:rPr>
                <w:rFonts w:ascii="Aptos" w:hAnsi="Aptos" w:eastAsia="" w:cs=""/>
                <w:kern w:val="0"/>
                <w:sz w:val="22"/>
                <w:szCs w:val="22"/>
                <w:lang w:val="en-GB" w:eastAsia="en-GB" w:bidi="ar-SA"/>
              </w:rPr>
            </w:pPr>
            <w:r>
              <w:rPr>
                <w:rFonts w:eastAsia="" w:cs=""/>
                <w:b w:val="false"/>
                <w:kern w:val="0"/>
                <w:sz w:val="18"/>
                <w:szCs w:val="22"/>
                <w:lang w:val="en-GB" w:eastAsia="en-GB" w:bidi="ar-SA"/>
              </w:rPr>
              <w:t>Unacceptable without immediate treatment or approved risk transfer. Escalation is required.</w:t>
            </w:r>
          </w:p>
        </w:tc>
      </w:tr>
    </w:tbl>
    <w:p>
      <w:pPr>
        <w:pStyle w:val="Normal"/>
        <w:rPr/>
      </w:pPr>
      <w:r>
        <w:rPr>
          <w:sz w:val="20"/>
        </w:rPr>
        <w:t>The risk acceptance criteria are reviewed at least annually and whenever significant changes occur in the bank's context, services, technology, regulatory obligations, or threat environment.</w:t>
      </w:r>
    </w:p>
    <w:p>
      <w:pPr>
        <w:pStyle w:val="Normal"/>
        <w:rPr/>
      </w:pPr>
      <w:r>
        <w:rPr/>
      </w:r>
    </w:p>
    <w:p>
      <w:pPr>
        <w:pStyle w:val="Heading1"/>
        <w:rPr>
          <w:sz w:val="24"/>
          <w:szCs w:val="24"/>
        </w:rPr>
      </w:pPr>
      <w:bookmarkStart w:id="2" w:name="_heading=h.4d34og8"/>
      <w:bookmarkEnd w:id="2"/>
      <w:r>
        <w:rPr>
          <w:rFonts w:ascii="Aptos" w:hAnsi="Aptos"/>
          <w:sz w:val="20"/>
        </w:rPr>
        <w:t>Risk Monitoring</w:t>
      </w:r>
    </w:p>
    <w:p>
      <w:pPr>
        <w:pStyle w:val="Normal"/>
        <w:rPr/>
      </w:pPr>
      <w:r>
        <w:rPr>
          <w:sz w:val="20"/>
        </w:rPr>
        <w:t>Risks are monitored through scheduled reviews and when significant changes, incidents, vulnerabilities, regulatory developments, or treatment events occur. Changes to likelihood, impact, controls, or residual risk are recorded in the risk log.</w:t>
      </w:r>
    </w:p>
    <w:p>
      <w:pPr>
        <w:pStyle w:val="Normal"/>
        <w:rPr/>
      </w:pPr>
      <w:r>
        <w:rPr>
          <w:sz w:val="20"/>
        </w:rPr>
        <w:t>Risk owners provide updates on treatment progress, while Information Security monitors overdue actions, changes in risk level, and the effectiveness of treatment measures.</w:t>
      </w:r>
    </w:p>
    <w:p>
      <w:pPr>
        <w:pStyle w:val="Heading1"/>
        <w:rPr>
          <w:color w:themeColor="accent1" w:themeShade="80" w:val="auto"/>
        </w:rPr>
      </w:pPr>
      <w:r>
        <w:rPr>
          <w:rFonts w:ascii="Aptos" w:hAnsi="Aptos"/>
          <w:sz w:val="20"/>
        </w:rPr>
        <w:t>Treatment Plans</w:t>
      </w:r>
    </w:p>
    <w:p>
      <w:pPr>
        <w:pStyle w:val="Normal"/>
        <w:rPr/>
      </w:pPr>
      <w:r>
        <w:rPr>
          <w:sz w:val="20"/>
        </w:rPr>
        <w:t>A threshold-based approach is used so that the level of treatment documentation is proportionate to the assessed risk.</w:t>
      </w:r>
    </w:p>
    <w:p>
      <w:pPr>
        <w:pStyle w:val="Normal"/>
        <w:rPr/>
      </w:pPr>
      <w:r>
        <w:rPr>
          <w:sz w:val="20"/>
        </w:rPr>
        <w:t>Risks with scores greater than 10 require a comprehensive documented treatment plan because they represent High or Critical risk under this methodology.</w:t>
      </w:r>
    </w:p>
    <w:p>
      <w:pPr>
        <w:pStyle w:val="Normal"/>
        <w:rPr/>
      </w:pPr>
      <w:r>
        <w:rPr>
          <w:sz w:val="20"/>
        </w:rPr>
        <w:t>Risks with scores of 10 or lower may be managed through concise treatment actions documented in the risk log, provided the treatment and residual risk are clearly recorded.</w:t>
      </w:r>
    </w:p>
    <w:p>
      <w:pPr>
        <w:pStyle w:val="Normal"/>
        <w:rPr/>
      </w:pPr>
      <w:r>
        <w:rPr>
          <w:sz w:val="20"/>
        </w:rPr>
        <w:t>This approach provides consistent prioritisation while focusing detailed management attention on risks that could materially affect banking services, sensitive information, regulatory compliance, or stakeholder trust.</w:t>
      </w:r>
    </w:p>
    <w:p>
      <w:pPr>
        <w:pStyle w:val="Normal"/>
        <w:rPr/>
      </w:pPr>
      <w:r>
        <w:rPr>
          <w:sz w:val="20"/>
        </w:rPr>
        <w:t>Treatment documentation is maintained within the controlled ISMS risk register and supporting treatment records.</w:t>
      </w:r>
    </w:p>
    <w:p>
      <w:pPr>
        <w:pStyle w:val="Normal"/>
        <w:jc w:val="center"/>
        <w:rPr/>
      </w:pPr>
      <w:r>
        <w:rPr/>
      </w:r>
    </w:p>
    <w:p>
      <w:pPr>
        <w:pStyle w:val="Normal"/>
        <w:rPr/>
      </w:pPr>
      <w:r>
        <w:rPr>
          <w:sz w:val="20"/>
        </w:rPr>
        <w:t>Where a separate treatment plan is required, it is linked to the corresponding risk record in the Risk Log.</w:t>
      </w:r>
    </w:p>
    <w:p>
      <w:pPr>
        <w:pStyle w:val="Heading1"/>
        <w:rPr>
          <w:color w:themeColor="accent1" w:themeShade="80" w:val="auto"/>
        </w:rPr>
      </w:pPr>
      <w:r>
        <w:rPr>
          <w:rFonts w:ascii="Aptos" w:hAnsi="Aptos"/>
          <w:sz w:val="20"/>
        </w:rPr>
        <w:t>Escalation</w:t>
      </w:r>
    </w:p>
    <w:p>
      <w:pPr>
        <w:pStyle w:val="Normal"/>
        <w:rPr/>
      </w:pPr>
      <w:r>
        <w:rPr>
          <w:sz w:val="20"/>
        </w:rPr>
        <w:t>Any risk assessed as High or Critical, or any risk with a material effect on critical banking services, regulatory obligations, customer information, or the bank's reputation, is escalated through the management structure to the appropriate senior management and risk governance forum.</w:t>
      </w:r>
    </w:p>
    <w:p>
      <w:pPr>
        <w:pStyle w:val="Normal"/>
        <w:rPr>
          <w:sz w:val="24"/>
          <w:szCs w:val="24"/>
        </w:rPr>
      </w:pPr>
      <w:r>
        <w:rPr>
          <w:sz w:val="24"/>
          <w:szCs w:val="24"/>
        </w:rPr>
      </w:r>
    </w:p>
    <w:p>
      <w:pPr>
        <w:pStyle w:val="Normal"/>
        <w:widowControl/>
        <w:bidi w:val="0"/>
        <w:spacing w:lineRule="auto" w:line="259" w:before="0" w:after="160"/>
        <w:jc w:val="lef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Noto Sans Symbols">
    <w:charset w:val="01"/>
    <w:family w:val="swiss"/>
    <w:pitch w:val="variable"/>
  </w:font>
  <w:font w:name="Courier New">
    <w:charset w:val="01"/>
    <w:family w:val="modern"/>
    <w:pitch w:val="fixed"/>
  </w:font>
  <w:font w:name="Symbol">
    <w:charset w:val="02"/>
    <w:family w:val="auto"/>
    <w:pitch w:val="default"/>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color w:val="000000"/>
      </w:rPr>
    </w:pPr>
    <w:r>
      <w:rPr>
        <w:color w:val="000000"/>
      </w:rPr>
    </w:r>
  </w:p>
  <w:tbl>
    <w:tblPr>
      <w:tblStyle w:val="a4"/>
      <w:tblW w:w="9015"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3005"/>
      <w:gridCol w:w="3005"/>
      <w:gridCol w:w="3005"/>
    </w:tblGrid>
    <w:tr>
      <w:trPr/>
      <w:tc>
        <w:tcPr>
          <w:tcW w:w="3005" w:type="dxa"/>
          <w:tcBorders/>
        </w:tcPr>
        <w:p>
          <w:pPr>
            <w:pStyle w:val="Normal"/>
            <w:pBdr/>
            <w:tabs>
              <w:tab w:val="clear" w:pos="720"/>
              <w:tab w:val="center" w:pos="4680" w:leader="none"/>
              <w:tab w:val="right" w:pos="9360" w:leader="none"/>
            </w:tabs>
            <w:spacing w:before="0" w:after="0"/>
            <w:rPr>
              <w:color w:val="000000"/>
            </w:rPr>
          </w:pPr>
          <w:r>
            <w:rPr>
              <w:color w:val="000000"/>
            </w:rPr>
          </w:r>
        </w:p>
      </w:tc>
      <w:tc>
        <w:tcPr>
          <w:tcW w:w="3005" w:type="dxa"/>
          <w:tcBorders/>
        </w:tcPr>
        <w:p>
          <w:pPr>
            <w:pStyle w:val="Normal"/>
            <w:pBdr/>
            <w:tabs>
              <w:tab w:val="clear" w:pos="720"/>
              <w:tab w:val="center" w:pos="4680" w:leader="none"/>
              <w:tab w:val="right" w:pos="9360" w:leader="none"/>
            </w:tabs>
            <w:spacing w:before="0" w:after="0"/>
            <w:rPr>
              <w:color w:val="000000"/>
            </w:rPr>
          </w:pPr>
          <w:r>
            <w:rPr>
              <w:color w:val="000000"/>
            </w:rPr>
          </w:r>
        </w:p>
      </w:tc>
      <w:tc>
        <w:tcPr>
          <w:tcW w:w="3005" w:type="dxa"/>
          <w:tcBorders/>
        </w:tcPr>
        <w:p>
          <w:pPr>
            <w:pStyle w:val="Normal"/>
            <w:pBdr/>
            <w:tabs>
              <w:tab w:val="clear" w:pos="720"/>
              <w:tab w:val="center" w:pos="4680" w:leader="none"/>
              <w:tab w:val="right" w:pos="9360" w:leader="none"/>
            </w:tabs>
            <w:spacing w:before="0" w:after="0"/>
            <w:rPr>
              <w:color w:val="000000"/>
            </w:rPr>
          </w:pPr>
          <w:r>
            <w:rPr>
              <w:color w:val="000000"/>
            </w:rPr>
          </w:r>
        </w:p>
      </w:tc>
    </w:tr>
  </w:tbl>
  <w:p>
    <w:pPr>
      <w:pStyle w:val="Normal"/>
      <w:pBdr/>
      <w:tabs>
        <w:tab w:val="clear" w:pos="720"/>
        <w:tab w:val="center" w:pos="4680" w:leader="none"/>
        <w:tab w:val="right" w:pos="9360" w:leader="none"/>
      </w:tabs>
      <w:spacing w:before="0" w:after="0"/>
      <w:jc w:val="right"/>
      <w:rPr>
        <w:color w:val="000000"/>
      </w:rPr>
    </w:pPr>
    <w:r>
      <w:rPr>
        <w:color w:val="000000"/>
      </w:rPr>
      <w:t xml:space="preserve">Page </w:t>
    </w:r>
    <w:r>
      <w:rPr>
        <w:b/>
        <w:color w:val="000000"/>
        <w:sz w:val="24"/>
        <w:szCs w:val="24"/>
      </w:rPr>
      <w:fldChar w:fldCharType="begin"/>
    </w:r>
    <w:r>
      <w:rPr>
        <w:sz w:val="24"/>
        <w:b/>
        <w:szCs w:val="24"/>
        <w:color w:val="000000"/>
      </w:rPr>
      <w:instrText xml:space="preserve"> PAGE </w:instrText>
    </w:r>
    <w:r>
      <w:rPr>
        <w:sz w:val="24"/>
        <w:b/>
        <w:szCs w:val="24"/>
        <w:color w:val="000000"/>
      </w:rPr>
      <w:fldChar w:fldCharType="separate"/>
    </w:r>
    <w:r>
      <w:rPr>
        <w:sz w:val="24"/>
        <w:b/>
        <w:szCs w:val="24"/>
        <w:color w:val="000000"/>
      </w:rPr>
      <w:t>8</w:t>
    </w:r>
    <w:r>
      <w:rPr>
        <w:sz w:val="24"/>
        <w:b/>
        <w:szCs w:val="24"/>
        <w:color w:val="000000"/>
      </w:rPr>
      <w:fldChar w:fldCharType="end"/>
    </w:r>
    <w:r>
      <w:rPr>
        <w:color w:val="000000"/>
      </w:rPr>
      <w:t xml:space="preserve"> of </w:t>
    </w:r>
    <w:r>
      <w:rPr>
        <w:b/>
        <w:color w:val="000000"/>
        <w:sz w:val="24"/>
        <w:szCs w:val="24"/>
      </w:rPr>
      <w:fldChar w:fldCharType="begin"/>
    </w:r>
    <w:r>
      <w:rPr>
        <w:sz w:val="24"/>
        <w:b/>
        <w:szCs w:val="24"/>
        <w:color w:val="000000"/>
      </w:rPr>
      <w:instrText xml:space="preserve"> NUMPAGES </w:instrText>
    </w:r>
    <w:r>
      <w:rPr>
        <w:sz w:val="24"/>
        <w:b/>
        <w:szCs w:val="24"/>
        <w:color w:val="000000"/>
      </w:rPr>
      <w:fldChar w:fldCharType="separate"/>
    </w:r>
    <w:r>
      <w:rPr>
        <w:sz w:val="24"/>
        <w:b/>
        <w:szCs w:val="24"/>
        <w:color w:val="000000"/>
      </w:rPr>
      <w:t>8</w:t>
    </w:r>
    <w:r>
      <w:rPr>
        <w:sz w:val="24"/>
        <w:b/>
        <w:szCs w:val="24"/>
        <w:color w:val="000000"/>
      </w:rPr>
      <w:fldChar w:fldCharType="end"/>
    </w:r>
  </w:p>
  <w:p>
    <w:pPr>
      <w:pStyle w:val="Normal"/>
      <w:pBdr/>
      <w:tabs>
        <w:tab w:val="clear" w:pos="720"/>
        <w:tab w:val="center" w:pos="4680" w:leader="none"/>
        <w:tab w:val="right" w:pos="9360" w:leader="none"/>
      </w:tabs>
      <w:spacing w:before="0" w:after="0"/>
      <w:rPr>
        <w:color w:val="000000"/>
      </w:rPr>
    </w:pPr>
    <w:r>
      <w:rPr>
        <w:color w:val="000000"/>
      </w:rPr>
    </w:r>
  </w:p>
  <w:p>
    <w:pPr>
      <w:pStyle w:val="Normal"/>
      <w:pBdr/>
      <w:tabs>
        <w:tab w:val="clear" w:pos="720"/>
        <w:tab w:val="center" w:pos="4680" w:leader="none"/>
        <w:tab w:val="right" w:pos="9360" w:leader="none"/>
      </w:tabs>
      <w:spacing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color w:val="000000"/>
      </w:rPr>
    </w:pPr>
    <w:r>
      <w:rPr>
        <w:color w:val="000000"/>
      </w:rPr>
    </w:r>
  </w:p>
  <w:tbl>
    <w:tblPr>
      <w:tblStyle w:val="a4"/>
      <w:tblW w:w="9015"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3005"/>
      <w:gridCol w:w="3005"/>
      <w:gridCol w:w="3005"/>
    </w:tblGrid>
    <w:tr>
      <w:trPr/>
      <w:tc>
        <w:tcPr>
          <w:tcW w:w="3005" w:type="dxa"/>
          <w:tcBorders/>
        </w:tcPr>
        <w:p>
          <w:pPr>
            <w:pStyle w:val="Normal"/>
            <w:pBdr/>
            <w:tabs>
              <w:tab w:val="clear" w:pos="720"/>
              <w:tab w:val="center" w:pos="4680" w:leader="none"/>
              <w:tab w:val="right" w:pos="9360" w:leader="none"/>
            </w:tabs>
            <w:spacing w:before="0" w:after="0"/>
            <w:rPr>
              <w:color w:val="000000"/>
            </w:rPr>
          </w:pPr>
          <w:r>
            <w:rPr>
              <w:color w:val="000000"/>
            </w:rPr>
          </w:r>
        </w:p>
      </w:tc>
      <w:tc>
        <w:tcPr>
          <w:tcW w:w="3005" w:type="dxa"/>
          <w:tcBorders/>
        </w:tcPr>
        <w:p>
          <w:pPr>
            <w:pStyle w:val="Normal"/>
            <w:pBdr/>
            <w:tabs>
              <w:tab w:val="clear" w:pos="720"/>
              <w:tab w:val="center" w:pos="4680" w:leader="none"/>
              <w:tab w:val="right" w:pos="9360" w:leader="none"/>
            </w:tabs>
            <w:spacing w:before="0" w:after="0"/>
            <w:rPr>
              <w:color w:val="000000"/>
            </w:rPr>
          </w:pPr>
          <w:r>
            <w:rPr>
              <w:color w:val="000000"/>
            </w:rPr>
          </w:r>
        </w:p>
      </w:tc>
      <w:tc>
        <w:tcPr>
          <w:tcW w:w="3005" w:type="dxa"/>
          <w:tcBorders/>
        </w:tcPr>
        <w:p>
          <w:pPr>
            <w:pStyle w:val="Normal"/>
            <w:pBdr/>
            <w:tabs>
              <w:tab w:val="clear" w:pos="720"/>
              <w:tab w:val="center" w:pos="4680" w:leader="none"/>
              <w:tab w:val="right" w:pos="9360" w:leader="none"/>
            </w:tabs>
            <w:spacing w:before="0" w:after="0"/>
            <w:rPr>
              <w:color w:val="000000"/>
            </w:rPr>
          </w:pPr>
          <w:r>
            <w:rPr>
              <w:color w:val="000000"/>
            </w:rPr>
          </w:r>
        </w:p>
      </w:tc>
    </w:tr>
  </w:tbl>
  <w:p>
    <w:pPr>
      <w:pStyle w:val="Normal"/>
      <w:pBdr/>
      <w:tabs>
        <w:tab w:val="clear" w:pos="720"/>
        <w:tab w:val="center" w:pos="4680" w:leader="none"/>
        <w:tab w:val="right" w:pos="9360" w:leader="none"/>
      </w:tabs>
      <w:spacing w:before="0" w:after="0"/>
      <w:jc w:val="right"/>
      <w:rPr>
        <w:color w:val="000000"/>
      </w:rPr>
    </w:pPr>
    <w:r>
      <w:rPr>
        <w:color w:val="000000"/>
      </w:rPr>
      <w:t xml:space="preserve">Page </w:t>
    </w:r>
    <w:r>
      <w:rPr>
        <w:b/>
        <w:color w:val="000000"/>
        <w:sz w:val="24"/>
        <w:szCs w:val="24"/>
      </w:rPr>
      <w:fldChar w:fldCharType="begin"/>
    </w:r>
    <w:r>
      <w:rPr>
        <w:sz w:val="24"/>
        <w:b/>
        <w:szCs w:val="24"/>
        <w:color w:val="000000"/>
      </w:rPr>
      <w:instrText xml:space="preserve"> PAGE </w:instrText>
    </w:r>
    <w:r>
      <w:rPr>
        <w:sz w:val="24"/>
        <w:b/>
        <w:szCs w:val="24"/>
        <w:color w:val="000000"/>
      </w:rPr>
      <w:fldChar w:fldCharType="separate"/>
    </w:r>
    <w:r>
      <w:rPr>
        <w:sz w:val="24"/>
        <w:b/>
        <w:szCs w:val="24"/>
        <w:color w:val="000000"/>
      </w:rPr>
      <w:t>8</w:t>
    </w:r>
    <w:r>
      <w:rPr>
        <w:sz w:val="24"/>
        <w:b/>
        <w:szCs w:val="24"/>
        <w:color w:val="000000"/>
      </w:rPr>
      <w:fldChar w:fldCharType="end"/>
    </w:r>
    <w:r>
      <w:rPr>
        <w:color w:val="000000"/>
      </w:rPr>
      <w:t xml:space="preserve"> of </w:t>
    </w:r>
    <w:r>
      <w:rPr>
        <w:b/>
        <w:color w:val="000000"/>
        <w:sz w:val="24"/>
        <w:szCs w:val="24"/>
      </w:rPr>
      <w:fldChar w:fldCharType="begin"/>
    </w:r>
    <w:r>
      <w:rPr>
        <w:sz w:val="24"/>
        <w:b/>
        <w:szCs w:val="24"/>
        <w:color w:val="000000"/>
      </w:rPr>
      <w:instrText xml:space="preserve"> NUMPAGES </w:instrText>
    </w:r>
    <w:r>
      <w:rPr>
        <w:sz w:val="24"/>
        <w:b/>
        <w:szCs w:val="24"/>
        <w:color w:val="000000"/>
      </w:rPr>
      <w:fldChar w:fldCharType="separate"/>
    </w:r>
    <w:r>
      <w:rPr>
        <w:sz w:val="24"/>
        <w:b/>
        <w:szCs w:val="24"/>
        <w:color w:val="000000"/>
      </w:rPr>
      <w:t>8</w:t>
    </w:r>
    <w:r>
      <w:rPr>
        <w:sz w:val="24"/>
        <w:b/>
        <w:szCs w:val="24"/>
        <w:color w:val="000000"/>
      </w:rPr>
      <w:fldChar w:fldCharType="end"/>
    </w:r>
  </w:p>
  <w:p>
    <w:pPr>
      <w:pStyle w:val="Normal"/>
      <w:pBdr/>
      <w:tabs>
        <w:tab w:val="clear" w:pos="720"/>
        <w:tab w:val="center" w:pos="4680" w:leader="none"/>
        <w:tab w:val="right" w:pos="9360" w:leader="none"/>
      </w:tabs>
      <w:spacing w:before="0" w:after="0"/>
      <w:rPr>
        <w:color w:val="000000"/>
      </w:rPr>
    </w:pPr>
    <w:r>
      <w:rPr>
        <w:color w:val="000000"/>
      </w:rPr>
    </w:r>
  </w:p>
  <w:p>
    <w:pPr>
      <w:pStyle w:val="Normal"/>
      <w:pBdr/>
      <w:tabs>
        <w:tab w:val="clear" w:pos="720"/>
        <w:tab w:val="center" w:pos="4680" w:leader="none"/>
        <w:tab w:val="right" w:pos="9360" w:leader="none"/>
      </w:tabs>
      <w:spacing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pPr>
    <w:r>
      <w:rPr/>
    </w:r>
  </w:p>
  <w:tbl>
    <w:tblPr>
      <w:tblStyle w:val="a3"/>
      <w:tblW w:w="10065"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6096"/>
      <w:gridCol w:w="869"/>
      <w:gridCol w:w="270"/>
      <w:gridCol w:w="1801"/>
      <w:gridCol w:w="1029"/>
    </w:tblGrid>
    <w:tr>
      <w:trPr/>
      <w:tc>
        <w:tcPr>
          <w:tcW w:w="6096" w:type="dxa"/>
          <w:tcBorders/>
        </w:tcPr>
        <w:p>
          <w:pPr>
            <w:pStyle w:val="Normal"/>
            <w:pBdr/>
            <w:tabs>
              <w:tab w:val="clear" w:pos="720"/>
              <w:tab w:val="center" w:pos="4680" w:leader="none"/>
              <w:tab w:val="right" w:pos="9360" w:leader="none"/>
            </w:tabs>
            <w:spacing w:before="0" w:after="0"/>
            <w:ind w:left="-90"/>
            <w:rPr>
              <w:color w:val="000000"/>
            </w:rPr>
          </w:pPr>
          <w:r>
            <w:rPr/>
            <w:t>Security Risk Assessment &amp; Treatment Methodology</w:t>
          </w:r>
        </w:p>
      </w:tc>
      <w:tc>
        <w:tcPr>
          <w:tcW w:w="869" w:type="dxa"/>
          <w:tcBorders/>
        </w:tcPr>
        <w:p>
          <w:pPr>
            <w:pStyle w:val="Normal"/>
            <w:pBdr/>
            <w:tabs>
              <w:tab w:val="clear" w:pos="720"/>
              <w:tab w:val="center" w:pos="4680" w:leader="none"/>
              <w:tab w:val="right" w:pos="9360" w:leader="none"/>
            </w:tabs>
            <w:spacing w:before="0" w:after="0"/>
            <w:rPr>
              <w:color w:val="000000"/>
            </w:rPr>
          </w:pPr>
          <w:r>
            <w:rPr>
              <w:color w:val="000000"/>
            </w:rPr>
          </w:r>
        </w:p>
      </w:tc>
      <w:tc>
        <w:tcPr>
          <w:tcW w:w="270" w:type="dxa"/>
          <w:tcBorders/>
        </w:tcPr>
        <w:p>
          <w:pPr>
            <w:pStyle w:val="Normal"/>
            <w:pBdr/>
            <w:tabs>
              <w:tab w:val="clear" w:pos="720"/>
              <w:tab w:val="center" w:pos="4680" w:leader="none"/>
              <w:tab w:val="right" w:pos="9360" w:leader="none"/>
            </w:tabs>
            <w:spacing w:before="0" w:after="0"/>
            <w:rPr>
              <w:color w:val="000000"/>
            </w:rPr>
          </w:pPr>
          <w:r>
            <w:rPr>
              <w:color w:val="000000"/>
            </w:rPr>
          </w:r>
        </w:p>
      </w:tc>
      <w:tc>
        <w:tcPr>
          <w:tcW w:w="1801" w:type="dxa"/>
          <w:tcBorders/>
        </w:tcPr>
        <w:p>
          <w:pPr>
            <w:pStyle w:val="Normal"/>
            <w:pBdr/>
            <w:tabs>
              <w:tab w:val="clear" w:pos="720"/>
              <w:tab w:val="center" w:pos="4680" w:leader="none"/>
              <w:tab w:val="right" w:pos="9360" w:leader="none"/>
            </w:tabs>
            <w:spacing w:before="0" w:after="0"/>
            <w:rPr>
              <w:color w:val="000000"/>
            </w:rPr>
          </w:pPr>
          <w:r>
            <w:rPr>
              <w:color w:val="000000"/>
            </w:rPr>
          </w:r>
        </w:p>
      </w:tc>
      <w:tc>
        <w:tcPr>
          <w:tcW w:w="1029" w:type="dxa"/>
          <w:tcBorders/>
        </w:tcPr>
        <w:p>
          <w:pPr>
            <w:pStyle w:val="Normal"/>
            <w:pBdr/>
            <w:tabs>
              <w:tab w:val="clear" w:pos="720"/>
              <w:tab w:val="center" w:pos="4680" w:leader="none"/>
              <w:tab w:val="right" w:pos="9360" w:leader="none"/>
            </w:tabs>
            <w:spacing w:before="0" w:after="0"/>
            <w:rPr>
              <w:color w:val="000000"/>
            </w:rPr>
          </w:pPr>
          <w:r>
            <w:rPr>
              <w:color w:val="000000"/>
            </w:rPr>
          </w:r>
        </w:p>
      </w:tc>
    </w:tr>
  </w:tbl>
  <w:p>
    <w:pPr>
      <w:pStyle w:val="Normal"/>
      <w:pBdr/>
      <w:tabs>
        <w:tab w:val="clear" w:pos="720"/>
        <w:tab w:val="center" w:pos="4680" w:leader="none"/>
        <w:tab w:val="right" w:pos="9360" w:leader="none"/>
      </w:tabs>
      <w:spacing w:before="0" w:after="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pBdr/>
      <w:spacing w:lineRule="auto" w:line="276" w:before="0" w:after="0"/>
      <w:rPr/>
    </w:pPr>
    <w:r>
      <w:rPr/>
    </w:r>
  </w:p>
  <w:tbl>
    <w:tblPr>
      <w:tblStyle w:val="a3"/>
      <w:tblW w:w="10065"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6096"/>
      <w:gridCol w:w="869"/>
      <w:gridCol w:w="270"/>
      <w:gridCol w:w="1801"/>
      <w:gridCol w:w="1029"/>
    </w:tblGrid>
    <w:tr>
      <w:trPr/>
      <w:tc>
        <w:tcPr>
          <w:tcW w:w="6096" w:type="dxa"/>
          <w:tcBorders/>
        </w:tcPr>
        <w:p>
          <w:pPr>
            <w:pStyle w:val="Normal"/>
            <w:pBdr/>
            <w:tabs>
              <w:tab w:val="clear" w:pos="720"/>
              <w:tab w:val="center" w:pos="4680" w:leader="none"/>
              <w:tab w:val="right" w:pos="9360" w:leader="none"/>
            </w:tabs>
            <w:spacing w:before="0" w:after="0"/>
            <w:ind w:left="-90"/>
            <w:rPr>
              <w:color w:val="000000"/>
            </w:rPr>
          </w:pPr>
          <w:r>
            <w:rPr/>
            <w:t>Security Risk Assessment &amp; Treatment Methodology</w:t>
          </w:r>
        </w:p>
      </w:tc>
      <w:tc>
        <w:tcPr>
          <w:tcW w:w="869" w:type="dxa"/>
          <w:tcBorders/>
        </w:tcPr>
        <w:p>
          <w:pPr>
            <w:pStyle w:val="Normal"/>
            <w:pBdr/>
            <w:tabs>
              <w:tab w:val="clear" w:pos="720"/>
              <w:tab w:val="center" w:pos="4680" w:leader="none"/>
              <w:tab w:val="right" w:pos="9360" w:leader="none"/>
            </w:tabs>
            <w:spacing w:before="0" w:after="0"/>
            <w:rPr>
              <w:color w:val="000000"/>
            </w:rPr>
          </w:pPr>
          <w:r>
            <w:rPr>
              <w:color w:val="000000"/>
            </w:rPr>
          </w:r>
        </w:p>
      </w:tc>
      <w:tc>
        <w:tcPr>
          <w:tcW w:w="270" w:type="dxa"/>
          <w:tcBorders/>
        </w:tcPr>
        <w:p>
          <w:pPr>
            <w:pStyle w:val="Normal"/>
            <w:pBdr/>
            <w:tabs>
              <w:tab w:val="clear" w:pos="720"/>
              <w:tab w:val="center" w:pos="4680" w:leader="none"/>
              <w:tab w:val="right" w:pos="9360" w:leader="none"/>
            </w:tabs>
            <w:spacing w:before="0" w:after="0"/>
            <w:rPr>
              <w:color w:val="000000"/>
            </w:rPr>
          </w:pPr>
          <w:r>
            <w:rPr>
              <w:color w:val="000000"/>
            </w:rPr>
          </w:r>
        </w:p>
      </w:tc>
      <w:tc>
        <w:tcPr>
          <w:tcW w:w="1801" w:type="dxa"/>
          <w:tcBorders/>
        </w:tcPr>
        <w:p>
          <w:pPr>
            <w:pStyle w:val="Normal"/>
            <w:pBdr/>
            <w:tabs>
              <w:tab w:val="clear" w:pos="720"/>
              <w:tab w:val="center" w:pos="4680" w:leader="none"/>
              <w:tab w:val="right" w:pos="9360" w:leader="none"/>
            </w:tabs>
            <w:spacing w:before="0" w:after="0"/>
            <w:rPr>
              <w:color w:val="000000"/>
            </w:rPr>
          </w:pPr>
          <w:r>
            <w:rPr>
              <w:color w:val="000000"/>
            </w:rPr>
          </w:r>
        </w:p>
      </w:tc>
      <w:tc>
        <w:tcPr>
          <w:tcW w:w="1029" w:type="dxa"/>
          <w:tcBorders/>
        </w:tcPr>
        <w:p>
          <w:pPr>
            <w:pStyle w:val="Normal"/>
            <w:pBdr/>
            <w:tabs>
              <w:tab w:val="clear" w:pos="720"/>
              <w:tab w:val="center" w:pos="4680" w:leader="none"/>
              <w:tab w:val="right" w:pos="9360" w:leader="none"/>
            </w:tabs>
            <w:spacing w:before="0" w:after="0"/>
            <w:rPr>
              <w:color w:val="000000"/>
            </w:rPr>
          </w:pPr>
          <w:r>
            <w:rPr>
              <w:color w:val="000000"/>
            </w:rPr>
          </w:r>
        </w:p>
      </w:tc>
    </w:tr>
  </w:tbl>
  <w:p>
    <w:pPr>
      <w:pStyle w:val="Normal"/>
      <w:pBdr/>
      <w:tabs>
        <w:tab w:val="clear" w:pos="720"/>
        <w:tab w:val="center" w:pos="4680" w:leader="none"/>
        <w:tab w:val="right" w:pos="9360" w:leader="none"/>
      </w:tabs>
      <w:spacing w:before="0" w:after="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docVars>
    <w:docVar w:name="__Grammarly_42____i" w:val="H4sIAAAAAAAEAKtWckksSQxILCpxzi/NK1GyMqwFAAEhoTITAAAA"/>
    <w:docVar w:name="__Grammarly_42___1" w:val="H4sIAAAAAAAEAKtWcslP9kxRslIyNDY2sTQ0sjAzMbE0NTc2MDRU0lEKTi0uzszPAykwqwUA3eAjOy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2"/>
        <w:szCs w:val="22"/>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6b57"/>
    <w:pPr>
      <w:widowControl/>
      <w:bidi w:val="0"/>
      <w:spacing w:lineRule="auto" w:line="259" w:before="0" w:after="160"/>
      <w:jc w:val="left"/>
    </w:pPr>
    <w:rPr>
      <w:rFonts w:ascii="Aptos" w:hAnsi="Aptos" w:eastAsia="" w:cs="" w:asciiTheme="minorHAnsi" w:cstheme="minorBidi" w:eastAsiaTheme="minorEastAsia" w:hAnsiTheme="minorHAnsi"/>
      <w:color w:val="auto"/>
      <w:kern w:val="0"/>
      <w:sz w:val="22"/>
      <w:szCs w:val="22"/>
      <w:lang w:val="en-GB" w:eastAsia="en-GB" w:bidi="ar-SA"/>
    </w:rPr>
  </w:style>
  <w:style w:type="paragraph" w:styleId="Heading1">
    <w:name w:val="Heading 1"/>
    <w:basedOn w:val="Normal"/>
    <w:next w:val="Normal"/>
    <w:link w:val="Heading1Char"/>
    <w:uiPriority w:val="9"/>
    <w:qFormat/>
    <w:rsid w:val="00a56b57"/>
    <w:pPr>
      <w:keepNext w:val="true"/>
      <w:keepLines/>
      <w:spacing w:lineRule="auto" w:line="240" w:before="400" w:after="40"/>
      <w:outlineLvl w:val="0"/>
    </w:pPr>
    <w:rPr>
      <w:rFonts w:ascii="Aptos Display" w:hAnsi="Aptos Display" w:eastAsia="" w:cs="" w:asciiTheme="majorHAnsi" w:cstheme="majorBidi" w:eastAsiaTheme="majorEastAsia" w:hAnsiTheme="majorHAnsi"/>
      <w:color w:themeColor="accent1" w:themeShade="80" w:val="0A2F41"/>
      <w:sz w:val="36"/>
      <w:szCs w:val="36"/>
    </w:rPr>
  </w:style>
  <w:style w:type="paragraph" w:styleId="Heading2">
    <w:name w:val="Heading 2"/>
    <w:basedOn w:val="Normal"/>
    <w:next w:val="Normal"/>
    <w:link w:val="Heading2Char"/>
    <w:uiPriority w:val="9"/>
    <w:unhideWhenUsed/>
    <w:qFormat/>
    <w:rsid w:val="00a56b57"/>
    <w:pPr>
      <w:keepNext w:val="true"/>
      <w:keepLines/>
      <w:spacing w:lineRule="auto" w:line="240" w:before="40" w:after="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56b57"/>
    <w:pPr>
      <w:keepNext w:val="true"/>
      <w:keepLines/>
      <w:spacing w:lineRule="auto" w:line="240" w:before="40" w:after="0"/>
      <w:outlineLvl w:val="2"/>
    </w:pPr>
    <w:rPr>
      <w:rFonts w:ascii="Aptos Display" w:hAnsi="Aptos Display" w:eastAsia="" w:cs="" w:asciiTheme="majorHAnsi" w:cstheme="majorBidi" w:eastAsiaTheme="majorEastAsia" w:hAnsiTheme="majorHAnsi"/>
      <w:color w:themeColor="accent1" w:themeShade="bf" w:val="0F4761"/>
      <w:sz w:val="28"/>
      <w:szCs w:val="28"/>
    </w:rPr>
  </w:style>
  <w:style w:type="paragraph" w:styleId="Heading4">
    <w:name w:val="Heading 4"/>
    <w:basedOn w:val="Normal"/>
    <w:next w:val="Normal"/>
    <w:link w:val="Heading4Char"/>
    <w:uiPriority w:val="9"/>
    <w:semiHidden/>
    <w:unhideWhenUsed/>
    <w:qFormat/>
    <w:rsid w:val="00a56b57"/>
    <w:pPr>
      <w:keepNext w:val="true"/>
      <w:keepLines/>
      <w:spacing w:before="40" w:after="0"/>
      <w:outlineLvl w:val="3"/>
    </w:pPr>
    <w:rPr>
      <w:rFonts w:ascii="Aptos Display" w:hAnsi="Aptos Display" w:eastAsia="" w:cs="" w:asciiTheme="majorHAnsi" w:cstheme="majorBidi" w:eastAsiaTheme="majorEastAsia" w:hAnsiTheme="majorHAnsi"/>
      <w:color w:themeColor="accent1" w:themeShade="bf" w:val="0F4761"/>
      <w:sz w:val="24"/>
      <w:szCs w:val="24"/>
    </w:rPr>
  </w:style>
  <w:style w:type="paragraph" w:styleId="Heading5">
    <w:name w:val="Heading 5"/>
    <w:basedOn w:val="Normal"/>
    <w:next w:val="Normal"/>
    <w:link w:val="Heading5Char"/>
    <w:uiPriority w:val="9"/>
    <w:semiHidden/>
    <w:unhideWhenUsed/>
    <w:qFormat/>
    <w:rsid w:val="00a56b57"/>
    <w:pPr>
      <w:keepNext w:val="true"/>
      <w:keepLines/>
      <w:spacing w:before="40" w:after="0"/>
      <w:outlineLvl w:val="4"/>
    </w:pPr>
    <w:rPr>
      <w:rFonts w:ascii="Aptos Display" w:hAnsi="Aptos Display" w:eastAsia="" w:cs="" w:asciiTheme="majorHAnsi" w:cstheme="majorBidi" w:eastAsiaTheme="majorEastAsia" w:hAnsiTheme="majorHAnsi"/>
      <w:caps/>
      <w:color w:themeColor="accent1" w:themeShade="bf" w:val="0F4761"/>
    </w:rPr>
  </w:style>
  <w:style w:type="paragraph" w:styleId="Heading6">
    <w:name w:val="Heading 6"/>
    <w:basedOn w:val="Normal"/>
    <w:next w:val="Normal"/>
    <w:link w:val="Heading6Char"/>
    <w:uiPriority w:val="9"/>
    <w:semiHidden/>
    <w:unhideWhenUsed/>
    <w:qFormat/>
    <w:rsid w:val="00a56b57"/>
    <w:pPr>
      <w:keepNext w:val="true"/>
      <w:keepLines/>
      <w:spacing w:before="40" w:after="0"/>
      <w:outlineLvl w:val="5"/>
    </w:pPr>
    <w:rPr>
      <w:rFonts w:ascii="Aptos Display" w:hAnsi="Aptos Display" w:eastAsia="" w:cs="" w:asciiTheme="majorHAnsi" w:cstheme="majorBidi" w:eastAsiaTheme="majorEastAsia" w:hAnsiTheme="majorHAnsi"/>
      <w:i/>
      <w:iCs/>
      <w:caps/>
      <w:color w:themeColor="accent1" w:themeShade="80" w:val="0A2F41"/>
    </w:rPr>
  </w:style>
  <w:style w:type="paragraph" w:styleId="Heading7">
    <w:name w:val="Heading 7"/>
    <w:basedOn w:val="Normal"/>
    <w:next w:val="Normal"/>
    <w:link w:val="Heading7Char"/>
    <w:uiPriority w:val="9"/>
    <w:semiHidden/>
    <w:unhideWhenUsed/>
    <w:qFormat/>
    <w:rsid w:val="00a56b57"/>
    <w:pPr>
      <w:keepNext w:val="true"/>
      <w:keepLines/>
      <w:spacing w:before="40" w:after="0"/>
      <w:outlineLvl w:val="6"/>
    </w:pPr>
    <w:rPr>
      <w:rFonts w:ascii="Aptos Display" w:hAnsi="Aptos Display" w:eastAsia="" w:cs="" w:asciiTheme="majorHAnsi" w:cstheme="majorBidi" w:eastAsiaTheme="majorEastAsia" w:hAnsiTheme="majorHAnsi"/>
      <w:b/>
      <w:bCs/>
      <w:color w:themeColor="accent1" w:themeShade="80" w:val="0A2F41"/>
    </w:rPr>
  </w:style>
  <w:style w:type="paragraph" w:styleId="Heading8">
    <w:name w:val="Heading 8"/>
    <w:basedOn w:val="Normal"/>
    <w:next w:val="Normal"/>
    <w:link w:val="Heading8Char"/>
    <w:uiPriority w:val="9"/>
    <w:semiHidden/>
    <w:unhideWhenUsed/>
    <w:qFormat/>
    <w:rsid w:val="00a56b57"/>
    <w:pPr>
      <w:keepNext w:val="true"/>
      <w:keepLines/>
      <w:spacing w:before="40" w:after="0"/>
      <w:outlineLvl w:val="7"/>
    </w:pPr>
    <w:rPr>
      <w:rFonts w:ascii="Aptos Display" w:hAnsi="Aptos Display" w:eastAsia="" w:cs="" w:asciiTheme="majorHAnsi" w:cstheme="majorBidi" w:eastAsiaTheme="majorEastAsia" w:hAnsiTheme="majorHAnsi"/>
      <w:b/>
      <w:bCs/>
      <w:i/>
      <w:iCs/>
      <w:color w:themeColor="accent1" w:themeShade="80" w:val="0A2F41"/>
    </w:rPr>
  </w:style>
  <w:style w:type="paragraph" w:styleId="Heading9">
    <w:name w:val="Heading 9"/>
    <w:basedOn w:val="Normal"/>
    <w:next w:val="Normal"/>
    <w:link w:val="Heading9Char"/>
    <w:uiPriority w:val="9"/>
    <w:semiHidden/>
    <w:unhideWhenUsed/>
    <w:qFormat/>
    <w:rsid w:val="00a56b57"/>
    <w:pPr>
      <w:keepNext w:val="true"/>
      <w:keepLines/>
      <w:spacing w:before="40" w:after="0"/>
      <w:outlineLvl w:val="8"/>
    </w:pPr>
    <w:rPr>
      <w:rFonts w:ascii="Aptos Display" w:hAnsi="Aptos Display" w:eastAsia="" w:cs="" w:asciiTheme="majorHAnsi" w:cstheme="majorBidi" w:eastAsiaTheme="majorEastAsia" w:hAnsiTheme="majorHAnsi"/>
      <w:i/>
      <w:iCs/>
      <w:color w:themeColor="accent1" w:themeShade="80" w:val="0A2F41"/>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yperlink">
    <w:name w:val="Hyperlink"/>
    <w:basedOn w:val="DefaultParagraphFont"/>
    <w:uiPriority w:val="99"/>
    <w:unhideWhenUsed/>
    <w:rPr>
      <w:color w:themeColor="hyperlink" w:val="467886"/>
      <w:u w:val="single"/>
    </w:rPr>
  </w:style>
  <w:style w:type="character" w:styleId="CommentTextChar" w:customStyle="1">
    <w:name w:val="Comment Text Char"/>
    <w:basedOn w:val="DefaultParagraphFont"/>
    <w:link w:val="AnnotationText"/>
    <w:uiPriority w:val="99"/>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UnresolvedMention">
    <w:name w:val="Unresolved Mention"/>
    <w:basedOn w:val="DefaultParagraphFont"/>
    <w:uiPriority w:val="99"/>
    <w:semiHidden/>
    <w:unhideWhenUsed/>
    <w:qFormat/>
    <w:rsid w:val="003e6d91"/>
    <w:rPr>
      <w:color w:val="605E5C"/>
      <w:shd w:fill="E1DFDD" w:val="clear"/>
    </w:rPr>
  </w:style>
  <w:style w:type="character" w:styleId="Heading2Char" w:customStyle="1">
    <w:name w:val="Heading 2 Char"/>
    <w:basedOn w:val="DefaultParagraphFont"/>
    <w:link w:val="Heading2"/>
    <w:uiPriority w:val="9"/>
    <w:qFormat/>
    <w:rsid w:val="00a56b5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1Char" w:customStyle="1">
    <w:name w:val="Heading 1 Char"/>
    <w:basedOn w:val="DefaultParagraphFont"/>
    <w:link w:val="Heading1"/>
    <w:uiPriority w:val="9"/>
    <w:qFormat/>
    <w:rsid w:val="00a56b57"/>
    <w:rPr>
      <w:rFonts w:ascii="Aptos Display" w:hAnsi="Aptos Display" w:eastAsia="" w:cs="" w:asciiTheme="majorHAnsi" w:cstheme="majorBidi" w:eastAsiaTheme="majorEastAsia" w:hAnsiTheme="majorHAnsi"/>
      <w:color w:themeColor="accent1" w:themeShade="80" w:val="0A2F41"/>
      <w:sz w:val="36"/>
      <w:szCs w:val="36"/>
    </w:rPr>
  </w:style>
  <w:style w:type="character" w:styleId="Heading3Char" w:customStyle="1">
    <w:name w:val="Heading 3 Char"/>
    <w:basedOn w:val="DefaultParagraphFont"/>
    <w:link w:val="Heading3"/>
    <w:uiPriority w:val="9"/>
    <w:semiHidden/>
    <w:qFormat/>
    <w:rsid w:val="00a56b57"/>
    <w:rPr>
      <w:rFonts w:ascii="Aptos Display" w:hAnsi="Aptos Display" w:eastAsia="" w:cs="" w:asciiTheme="majorHAnsi" w:cstheme="majorBidi" w:eastAsiaTheme="majorEastAsia" w:hAnsiTheme="majorHAnsi"/>
      <w:color w:themeColor="accent1" w:themeShade="bf" w:val="0F4761"/>
      <w:sz w:val="28"/>
      <w:szCs w:val="28"/>
    </w:rPr>
  </w:style>
  <w:style w:type="character" w:styleId="TitleChar" w:customStyle="1">
    <w:name w:val="Title Char"/>
    <w:basedOn w:val="DefaultParagraphFont"/>
    <w:link w:val="Title"/>
    <w:uiPriority w:val="10"/>
    <w:qFormat/>
    <w:rsid w:val="00a56b57"/>
    <w:rPr>
      <w:rFonts w:ascii="Aptos Display" w:hAnsi="Aptos Display" w:eastAsia="" w:cs="" w:asciiTheme="majorHAnsi" w:cstheme="majorBidi" w:eastAsiaTheme="majorEastAsia" w:hAnsiTheme="majorHAnsi"/>
      <w:caps/>
      <w:color w:themeColor="text2" w:val="0E2841"/>
      <w:spacing w:val="-15"/>
      <w:sz w:val="72"/>
      <w:szCs w:val="72"/>
    </w:rPr>
  </w:style>
  <w:style w:type="character" w:styleId="CommentSubjectChar" w:customStyle="1">
    <w:name w:val="Comment Subject Char"/>
    <w:basedOn w:val="CommentTextChar"/>
    <w:link w:val="annotationsubject"/>
    <w:uiPriority w:val="99"/>
    <w:semiHidden/>
    <w:qFormat/>
    <w:rsid w:val="008d1f77"/>
    <w:rPr>
      <w:b/>
      <w:bCs/>
      <w:sz w:val="20"/>
      <w:szCs w:val="20"/>
    </w:rPr>
  </w:style>
  <w:style w:type="character" w:styleId="FollowedHyperlink">
    <w:name w:val="FollowedHyperlink"/>
    <w:basedOn w:val="DefaultParagraphFont"/>
    <w:uiPriority w:val="99"/>
    <w:semiHidden/>
    <w:unhideWhenUsed/>
    <w:rsid w:val="002a1ebf"/>
    <w:rPr>
      <w:color w:themeColor="followedHyperlink" w:val="96607D"/>
      <w:u w:val="single"/>
    </w:rPr>
  </w:style>
  <w:style w:type="character" w:styleId="Heading4Char" w:customStyle="1">
    <w:name w:val="Heading 4 Char"/>
    <w:basedOn w:val="DefaultParagraphFont"/>
    <w:link w:val="Heading4"/>
    <w:uiPriority w:val="9"/>
    <w:semiHidden/>
    <w:qFormat/>
    <w:rsid w:val="00a56b57"/>
    <w:rPr>
      <w:rFonts w:ascii="Aptos Display" w:hAnsi="Aptos Display" w:eastAsia="" w:cs="" w:asciiTheme="majorHAnsi" w:cstheme="majorBidi" w:eastAsiaTheme="majorEastAsia" w:hAnsiTheme="majorHAnsi"/>
      <w:color w:themeColor="accent1" w:themeShade="bf" w:val="0F4761"/>
      <w:sz w:val="24"/>
      <w:szCs w:val="24"/>
    </w:rPr>
  </w:style>
  <w:style w:type="character" w:styleId="Heading5Char" w:customStyle="1">
    <w:name w:val="Heading 5 Char"/>
    <w:basedOn w:val="DefaultParagraphFont"/>
    <w:link w:val="Heading5"/>
    <w:uiPriority w:val="9"/>
    <w:semiHidden/>
    <w:qFormat/>
    <w:rsid w:val="00a56b57"/>
    <w:rPr>
      <w:rFonts w:ascii="Aptos Display" w:hAnsi="Aptos Display" w:eastAsia="" w:cs="" w:asciiTheme="majorHAnsi" w:cstheme="majorBidi" w:eastAsiaTheme="majorEastAsia" w:hAnsiTheme="majorHAnsi"/>
      <w:caps/>
      <w:color w:themeColor="accent1" w:themeShade="bf" w:val="0F4761"/>
    </w:rPr>
  </w:style>
  <w:style w:type="character" w:styleId="PlaceholderText">
    <w:name w:val="Placeholder Text"/>
    <w:basedOn w:val="DefaultParagraphFont"/>
    <w:uiPriority w:val="99"/>
    <w:semiHidden/>
    <w:qFormat/>
    <w:rsid w:val="006760a4"/>
    <w:rPr>
      <w:color w:val="808080"/>
    </w:rPr>
  </w:style>
  <w:style w:type="character" w:styleId="cf01" w:customStyle="1">
    <w:name w:val="cf01"/>
    <w:basedOn w:val="DefaultParagraphFont"/>
    <w:qFormat/>
    <w:rsid w:val="008b1ec8"/>
    <w:rPr>
      <w:rFonts w:ascii="Segoe UI" w:hAnsi="Segoe UI" w:cs="Segoe UI"/>
      <w:sz w:val="18"/>
      <w:szCs w:val="18"/>
    </w:rPr>
  </w:style>
  <w:style w:type="character" w:styleId="SubtitleChar" w:customStyle="1">
    <w:name w:val="Subtitle Char"/>
    <w:basedOn w:val="DefaultParagraphFont"/>
    <w:link w:val="Subtitle"/>
    <w:uiPriority w:val="11"/>
    <w:qFormat/>
    <w:rsid w:val="00a56b57"/>
    <w:rPr>
      <w:rFonts w:ascii="Aptos Display" w:hAnsi="Aptos Display" w:eastAsia="" w:cs="" w:asciiTheme="majorHAnsi" w:cstheme="majorBidi" w:eastAsiaTheme="majorEastAsia" w:hAnsiTheme="majorHAnsi"/>
      <w:color w:themeColor="accent1" w:val="156082"/>
      <w:sz w:val="28"/>
      <w:szCs w:val="28"/>
    </w:rPr>
  </w:style>
  <w:style w:type="character" w:styleId="Heading6Char" w:customStyle="1">
    <w:name w:val="Heading 6 Char"/>
    <w:basedOn w:val="DefaultParagraphFont"/>
    <w:link w:val="Heading6"/>
    <w:uiPriority w:val="9"/>
    <w:semiHidden/>
    <w:qFormat/>
    <w:rsid w:val="00a56b57"/>
    <w:rPr>
      <w:rFonts w:ascii="Aptos Display" w:hAnsi="Aptos Display" w:eastAsia="" w:cs="" w:asciiTheme="majorHAnsi" w:cstheme="majorBidi" w:eastAsiaTheme="majorEastAsia" w:hAnsiTheme="majorHAnsi"/>
      <w:i/>
      <w:iCs/>
      <w:caps/>
      <w:color w:themeColor="accent1" w:themeShade="80" w:val="0A2F41"/>
    </w:rPr>
  </w:style>
  <w:style w:type="character" w:styleId="Heading7Char" w:customStyle="1">
    <w:name w:val="Heading 7 Char"/>
    <w:basedOn w:val="DefaultParagraphFont"/>
    <w:link w:val="Heading7"/>
    <w:uiPriority w:val="9"/>
    <w:semiHidden/>
    <w:qFormat/>
    <w:rsid w:val="00a56b57"/>
    <w:rPr>
      <w:rFonts w:ascii="Aptos Display" w:hAnsi="Aptos Display" w:eastAsia="" w:cs="" w:asciiTheme="majorHAnsi" w:cstheme="majorBidi" w:eastAsiaTheme="majorEastAsia" w:hAnsiTheme="majorHAnsi"/>
      <w:b/>
      <w:bCs/>
      <w:color w:themeColor="accent1" w:themeShade="80" w:val="0A2F41"/>
    </w:rPr>
  </w:style>
  <w:style w:type="character" w:styleId="Heading8Char" w:customStyle="1">
    <w:name w:val="Heading 8 Char"/>
    <w:basedOn w:val="DefaultParagraphFont"/>
    <w:link w:val="Heading8"/>
    <w:uiPriority w:val="9"/>
    <w:semiHidden/>
    <w:qFormat/>
    <w:rsid w:val="00a56b57"/>
    <w:rPr>
      <w:rFonts w:ascii="Aptos Display" w:hAnsi="Aptos Display" w:eastAsia="" w:cs="" w:asciiTheme="majorHAnsi" w:cstheme="majorBidi" w:eastAsiaTheme="majorEastAsia" w:hAnsiTheme="majorHAnsi"/>
      <w:b/>
      <w:bCs/>
      <w:i/>
      <w:iCs/>
      <w:color w:themeColor="accent1" w:themeShade="80" w:val="0A2F41"/>
    </w:rPr>
  </w:style>
  <w:style w:type="character" w:styleId="Heading9Char" w:customStyle="1">
    <w:name w:val="Heading 9 Char"/>
    <w:basedOn w:val="DefaultParagraphFont"/>
    <w:link w:val="Heading9"/>
    <w:uiPriority w:val="9"/>
    <w:semiHidden/>
    <w:qFormat/>
    <w:rsid w:val="00a56b57"/>
    <w:rPr>
      <w:rFonts w:ascii="Aptos Display" w:hAnsi="Aptos Display" w:eastAsia="" w:cs="" w:asciiTheme="majorHAnsi" w:cstheme="majorBidi" w:eastAsiaTheme="majorEastAsia" w:hAnsiTheme="majorHAnsi"/>
      <w:i/>
      <w:iCs/>
      <w:color w:themeColor="accent1" w:themeShade="80" w:val="0A2F41"/>
    </w:rPr>
  </w:style>
  <w:style w:type="character" w:styleId="Strong">
    <w:name w:val="Strong"/>
    <w:basedOn w:val="DefaultParagraphFont"/>
    <w:uiPriority w:val="22"/>
    <w:qFormat/>
    <w:rsid w:val="00a56b57"/>
    <w:rPr>
      <w:b/>
      <w:bCs/>
    </w:rPr>
  </w:style>
  <w:style w:type="character" w:styleId="Emphasis">
    <w:name w:val="Emphasis"/>
    <w:basedOn w:val="DefaultParagraphFont"/>
    <w:uiPriority w:val="20"/>
    <w:qFormat/>
    <w:rsid w:val="00a56b57"/>
    <w:rPr>
      <w:i/>
      <w:iCs/>
    </w:rPr>
  </w:style>
  <w:style w:type="character" w:styleId="QuoteChar" w:customStyle="1">
    <w:name w:val="Quote Char"/>
    <w:basedOn w:val="DefaultParagraphFont"/>
    <w:link w:val="Quote"/>
    <w:uiPriority w:val="29"/>
    <w:qFormat/>
    <w:rsid w:val="00a56b57"/>
    <w:rPr>
      <w:color w:themeColor="text2" w:val="0E2841"/>
      <w:sz w:val="24"/>
      <w:szCs w:val="24"/>
    </w:rPr>
  </w:style>
  <w:style w:type="character" w:styleId="IntenseQuoteChar" w:customStyle="1">
    <w:name w:val="Intense Quote Char"/>
    <w:basedOn w:val="DefaultParagraphFont"/>
    <w:link w:val="IntenseQuote"/>
    <w:uiPriority w:val="30"/>
    <w:qFormat/>
    <w:rsid w:val="00a56b57"/>
    <w:rPr>
      <w:rFonts w:ascii="Aptos Display" w:hAnsi="Aptos Display" w:eastAsia="" w:cs="" w:asciiTheme="majorHAnsi" w:cstheme="majorBidi" w:eastAsiaTheme="majorEastAsia" w:hAnsiTheme="majorHAnsi"/>
      <w:color w:themeColor="text2" w:val="0E2841"/>
      <w:spacing w:val="-6"/>
      <w:sz w:val="32"/>
      <w:szCs w:val="32"/>
    </w:rPr>
  </w:style>
  <w:style w:type="character" w:styleId="SubtleEmphasis">
    <w:name w:val="Subtle Emphasis"/>
    <w:basedOn w:val="DefaultParagraphFont"/>
    <w:uiPriority w:val="19"/>
    <w:qFormat/>
    <w:rsid w:val="00a56b57"/>
    <w:rPr>
      <w:i/>
      <w:iCs/>
      <w:color w:themeColor="text1" w:themeTint="a6" w:val="595959"/>
    </w:rPr>
  </w:style>
  <w:style w:type="character" w:styleId="IntenseEmphasis">
    <w:name w:val="Intense Emphasis"/>
    <w:basedOn w:val="DefaultParagraphFont"/>
    <w:uiPriority w:val="21"/>
    <w:qFormat/>
    <w:rsid w:val="00a56b57"/>
    <w:rPr>
      <w:b/>
      <w:bCs/>
      <w:i/>
      <w:iCs/>
    </w:rPr>
  </w:style>
  <w:style w:type="character" w:styleId="SubtleReference">
    <w:name w:val="Subtle Reference"/>
    <w:basedOn w:val="DefaultParagraphFont"/>
    <w:uiPriority w:val="31"/>
    <w:qFormat/>
    <w:rsid w:val="00a56b57"/>
    <w:rPr>
      <w:smallCaps/>
      <w:color w:themeColor="text1" w:themeTint="a6" w:val="595959"/>
      <w:u w:val="none" w:color="7F7F7F" w:themeColor="dark1" w:themeTint="80"/>
    </w:rPr>
  </w:style>
  <w:style w:type="character" w:styleId="IntenseReference">
    <w:name w:val="Intense Reference"/>
    <w:basedOn w:val="DefaultParagraphFont"/>
    <w:uiPriority w:val="32"/>
    <w:qFormat/>
    <w:rsid w:val="00a56b57"/>
    <w:rPr>
      <w:b/>
      <w:bCs/>
      <w:smallCaps/>
      <w:color w:themeColor="text2" w:val="0E2841"/>
      <w:u w:val="single"/>
    </w:rPr>
  </w:style>
  <w:style w:type="character" w:styleId="BookTitle">
    <w:name w:val="Book Title"/>
    <w:basedOn w:val="DefaultParagraphFont"/>
    <w:uiPriority w:val="33"/>
    <w:qFormat/>
    <w:rsid w:val="00a56b57"/>
    <w:rPr>
      <w:b/>
      <w:bCs/>
      <w:smallCaps/>
      <w:spacing w:val="10"/>
    </w:rPr>
  </w:style>
  <w:style w:type="character" w:styleId="hljs-section" w:customStyle="1">
    <w:name w:val="hljs-section"/>
    <w:basedOn w:val="DefaultParagraphFont"/>
    <w:qFormat/>
    <w:rsid w:val="00ff4221"/>
    <w:rPr/>
  </w:style>
  <w:style w:type="character" w:styleId="hljs-bullet" w:customStyle="1">
    <w:name w:val="hljs-bullet"/>
    <w:basedOn w:val="DefaultParagraphFont"/>
    <w:qFormat/>
    <w:rsid w:val="00ff4221"/>
    <w:rPr/>
  </w:style>
  <w:style w:type="character" w:styleId="hljs-strong" w:customStyle="1">
    <w:name w:val="hljs-strong"/>
    <w:basedOn w:val="DefaultParagraphFont"/>
    <w:qFormat/>
    <w:rsid w:val="00ff4221"/>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semiHidden/>
    <w:unhideWhenUsed/>
    <w:qFormat/>
    <w:rsid w:val="00a56b57"/>
    <w:pPr>
      <w:spacing w:lineRule="auto" w:line="240"/>
    </w:pPr>
    <w:rPr>
      <w:b/>
      <w:bCs/>
      <w:smallCaps/>
      <w:color w:themeColor="text2" w:val="0E2841"/>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a56b57"/>
    <w:pPr>
      <w:spacing w:lineRule="auto" w:line="204" w:before="0" w:after="0"/>
      <w:contextualSpacing/>
    </w:pPr>
    <w:rPr>
      <w:rFonts w:ascii="Aptos Display" w:hAnsi="Aptos Display" w:eastAsia="" w:cs="" w:asciiTheme="majorHAnsi" w:cstheme="majorBidi" w:eastAsiaTheme="majorEastAsia" w:hAnsiTheme="majorHAnsi"/>
      <w:caps/>
      <w:color w:themeColor="text2" w:val="0E2841"/>
      <w:spacing w:val="-15"/>
      <w:sz w:val="72"/>
      <w:szCs w:val="72"/>
    </w:rPr>
  </w:style>
  <w:style w:type="paragraph" w:styleId="ListParagraph">
    <w:name w:val="List Paragraph"/>
    <w:basedOn w:val="Normal"/>
    <w:uiPriority w:val="34"/>
    <w:qFormat/>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before="0" w:after="0"/>
    </w:pPr>
    <w:rPr/>
  </w:style>
  <w:style w:type="paragraph" w:styleId="AnnotationText">
    <w:name w:val="Annotation Text"/>
    <w:basedOn w:val="Normal"/>
    <w:link w:val="CommentTextChar"/>
    <w:uiPriority w:val="99"/>
    <w:unhideWhenUsed/>
    <w:pPr/>
    <w:rPr>
      <w:sz w:val="20"/>
      <w:szCs w:val="20"/>
    </w:rPr>
  </w:style>
  <w:style w:type="paragraph" w:styleId="annotationsubject">
    <w:name w:val="annotation subject"/>
    <w:basedOn w:val="AnnotationText"/>
    <w:next w:val="AnnotationText"/>
    <w:link w:val="CommentSubjectChar"/>
    <w:uiPriority w:val="99"/>
    <w:semiHidden/>
    <w:unhideWhenUsed/>
    <w:qFormat/>
    <w:rsid w:val="008d1f77"/>
    <w:pPr/>
    <w:rPr>
      <w:b/>
      <w:bCs/>
    </w:rPr>
  </w:style>
  <w:style w:type="paragraph" w:styleId="IndexHeading">
    <w:name w:val="Index Heading"/>
    <w:basedOn w:val="Heading"/>
    <w:pPr/>
    <w:rPr/>
  </w:style>
  <w:style w:type="paragraph" w:styleId="TOCHeading">
    <w:name w:val="TOC Heading"/>
    <w:basedOn w:val="Heading1"/>
    <w:next w:val="Normal"/>
    <w:uiPriority w:val="39"/>
    <w:unhideWhenUsed/>
    <w:qFormat/>
    <w:rsid w:val="00a56b57"/>
    <w:pPr>
      <w:outlineLvl w:val="9"/>
    </w:pPr>
    <w:rPr/>
  </w:style>
  <w:style w:type="paragraph" w:styleId="TOC1">
    <w:name w:val="TOC 1"/>
    <w:basedOn w:val="Normal"/>
    <w:next w:val="Normal"/>
    <w:autoRedefine/>
    <w:uiPriority w:val="39"/>
    <w:unhideWhenUsed/>
    <w:rsid w:val="009320b1"/>
    <w:pPr>
      <w:spacing w:before="0" w:after="100"/>
    </w:pPr>
    <w:rPr/>
  </w:style>
  <w:style w:type="paragraph" w:styleId="TOC2">
    <w:name w:val="TOC 2"/>
    <w:basedOn w:val="Normal"/>
    <w:next w:val="Normal"/>
    <w:autoRedefine/>
    <w:uiPriority w:val="39"/>
    <w:unhideWhenUsed/>
    <w:rsid w:val="009320b1"/>
    <w:pPr>
      <w:spacing w:before="0" w:after="100"/>
      <w:ind w:left="180"/>
    </w:pPr>
    <w:rPr/>
  </w:style>
  <w:style w:type="paragraph" w:styleId="TOC3">
    <w:name w:val="TOC 3"/>
    <w:basedOn w:val="Normal"/>
    <w:next w:val="Normal"/>
    <w:autoRedefine/>
    <w:uiPriority w:val="39"/>
    <w:unhideWhenUsed/>
    <w:rsid w:val="009320b1"/>
    <w:pPr>
      <w:spacing w:before="0" w:after="100"/>
      <w:ind w:left="360"/>
    </w:pPr>
    <w:rPr/>
  </w:style>
  <w:style w:type="paragraph" w:styleId="NormalWeb">
    <w:name w:val="Normal (Web)"/>
    <w:basedOn w:val="Normal"/>
    <w:uiPriority w:val="99"/>
    <w:semiHidden/>
    <w:unhideWhenUsed/>
    <w:qFormat/>
    <w:rsid w:val="008b1ec8"/>
    <w:pPr>
      <w:spacing w:beforeAutospacing="1" w:afterAutospacing="1"/>
    </w:pPr>
    <w:rPr>
      <w:rFonts w:ascii="Times New Roman" w:hAnsi="Times New Roman" w:eastAsia="Times New Roman" w:cs="Times New Roman"/>
      <w:sz w:val="24"/>
      <w:szCs w:val="24"/>
    </w:rPr>
  </w:style>
  <w:style w:type="paragraph" w:styleId="Subtitle">
    <w:name w:val="Subtitle"/>
    <w:basedOn w:val="Normal"/>
    <w:next w:val="Normal"/>
    <w:link w:val="SubtitleChar"/>
    <w:uiPriority w:val="11"/>
    <w:qFormat/>
    <w:rsid w:val="00a56b57"/>
    <w:pPr>
      <w:spacing w:lineRule="auto" w:line="240" w:before="0" w:after="240"/>
    </w:pPr>
    <w:rPr>
      <w:rFonts w:ascii="Aptos Display" w:hAnsi="Aptos Display" w:eastAsia="" w:cs="" w:asciiTheme="majorHAnsi" w:cstheme="majorBidi" w:eastAsiaTheme="majorEastAsia" w:hAnsiTheme="majorHAnsi"/>
      <w:color w:themeColor="accent1" w:val="156082"/>
      <w:sz w:val="28"/>
      <w:szCs w:val="28"/>
    </w:rPr>
  </w:style>
  <w:style w:type="paragraph" w:styleId="NoSpacing">
    <w:name w:val="No Spacing"/>
    <w:uiPriority w:val="1"/>
    <w:qFormat/>
    <w:rsid w:val="00a56b57"/>
    <w:pPr>
      <w:widowControl/>
      <w:bidi w:val="0"/>
      <w:spacing w:lineRule="auto" w:line="240" w:before="0" w:after="0"/>
      <w:jc w:val="left"/>
    </w:pPr>
    <w:rPr>
      <w:rFonts w:ascii="Aptos" w:hAnsi="Aptos" w:eastAsia="" w:cs="" w:asciiTheme="minorHAnsi" w:cstheme="minorBidi" w:eastAsiaTheme="minorEastAsia" w:hAnsiTheme="minorHAnsi"/>
      <w:color w:val="auto"/>
      <w:kern w:val="0"/>
      <w:sz w:val="22"/>
      <w:szCs w:val="22"/>
      <w:lang w:val="en-GB" w:eastAsia="en-GB" w:bidi="ar-SA"/>
    </w:rPr>
  </w:style>
  <w:style w:type="paragraph" w:styleId="Quote">
    <w:name w:val="Quote"/>
    <w:basedOn w:val="Normal"/>
    <w:next w:val="Normal"/>
    <w:link w:val="QuoteChar"/>
    <w:uiPriority w:val="29"/>
    <w:qFormat/>
    <w:rsid w:val="00a56b57"/>
    <w:pPr>
      <w:spacing w:before="120" w:after="120"/>
      <w:ind w:left="720"/>
    </w:pPr>
    <w:rPr>
      <w:color w:themeColor="text2" w:val="0E2841"/>
      <w:sz w:val="24"/>
      <w:szCs w:val="24"/>
    </w:rPr>
  </w:style>
  <w:style w:type="paragraph" w:styleId="IntenseQuote">
    <w:name w:val="Intense Quote"/>
    <w:basedOn w:val="Normal"/>
    <w:next w:val="Normal"/>
    <w:link w:val="IntenseQuoteChar"/>
    <w:uiPriority w:val="30"/>
    <w:qFormat/>
    <w:rsid w:val="00a56b57"/>
    <w:pPr>
      <w:spacing w:lineRule="auto" w:line="240" w:beforeAutospacing="1" w:after="240"/>
      <w:ind w:left="720"/>
      <w:jc w:val="center"/>
    </w:pPr>
    <w:rPr>
      <w:rFonts w:ascii="Aptos Display" w:hAnsi="Aptos Display" w:eastAsia="" w:cs="" w:asciiTheme="majorHAnsi" w:cstheme="majorBidi" w:eastAsiaTheme="majorEastAsia" w:hAnsiTheme="majorHAnsi"/>
      <w:color w:themeColor="text2" w:val="0E2841"/>
      <w:spacing w:val="-6"/>
      <w:sz w:val="32"/>
      <w:szCs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2">
    <w:name w:val="Grid Table 5 Dark Accent 2"/>
    <w:basedOn w:val="TableNormal"/>
    <w:uiPriority w:val="50"/>
    <w:rsid w:val="00e14142"/>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14142"/>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GridLight">
    <w:name w:val="Grid Table Light"/>
    <w:basedOn w:val="TableNormal"/>
    <w:uiPriority w:val="40"/>
    <w:rsid w:val="00e14142"/>
    <w:pPr>
      <w:spacing w:after="0"/>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GridTable4-Accent4">
    <w:name w:val="Grid Table 4 Accent 4"/>
    <w:basedOn w:val="TableNormal"/>
    <w:uiPriority w:val="49"/>
    <w:rsid w:val="00aa468f"/>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Pr/>
    </w:tblStylePr>
    <w:tblStylePr w:type="lastCol">
      <w:rPr>
        <w:b/>
        <w:bCs/>
      </w:rPr>
      <w:tbl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9c7063"/>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tblBorders>
    </w:tblPr>
    <w:tblStylePr w:type="firstRow">
      <w:rPr>
        <w:b/>
        <w:bCs/>
        <w:color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tcBorders>
        <w:shd w:val="clear" w:color="auto" w:fill="0F9ED5" w:themeFill="accent4"/>
      </w:tcPr>
    </w:tblStylePr>
    <w:tblStylePr w:type="lastRow">
      <w:rPr>
        <w:b/>
        <w:bCs/>
      </w:rPr>
      <w:tblPr/>
      <w:tcPr>
        <w:tcBorders>
          <w:top w:val="double" w:color="60CAF3" w:themeColor="accent4" w:sz="4" w:space="0"/>
        </w:tcBorders>
      </w:tcPr>
    </w:tblStylePr>
    <w:tblStylePr w:type="firstCol">
      <w:rPr>
        <w:b/>
        <w:bCs/>
      </w:rPr>
      <w:tblPr/>
    </w:tblStylePr>
    <w:tblStylePr w:type="lastCol">
      <w:rPr>
        <w:b/>
        <w:bCs/>
      </w:rPr>
      <w:tbl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fd4ad9"/>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6ZdSruwehsUhGs3rG3Aq7rbwW8w==">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Application>LibreOffice/24.2.7.2$Linux_X86_64 LibreOffice_project/420$Build-2</Application>
  <AppVersion>15.0000</AppVersion>
  <Pages>8</Pages>
  <Words>1974</Words>
  <Characters>12254</Characters>
  <CharactersWithSpaces>14029</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2023-11-13T21:08:00Z</dcterms:created>
  <dc:creator>Shiban Mohammed Ali Hussein Shiban</dc:creator>
  <dc:description>Academic ISO/IEC 27001 project document</dc:description>
  <dc:language>en-US</dc:language>
  <cp:lastModifiedBy/>
  <cp:lastPrinted>2024-07-22T15:12:00Z</cp:lastPrinted>
  <dcterms:modified xsi:type="dcterms:W3CDTF">2026-09-13T03:24:59Z</dcterms:modified>
  <cp:revision>47</cp:revision>
  <dc:subject>Al-Afaq Digital Bank ISMS</dc:subject>
  <dc:title>Security Risk Assessment and Treatment Methodology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0x0101009AF40AD6D164D14FBC8D1A40E95E8803</vt:lpwstr>
  </property>
  <property fmtid="{D5CDD505-2E9C-101B-9397-08002B2CF9AE}" pid="3" name="GrammarlyDocumentId">
    <vt:lpwstr>8a3cceabe7b9e0a6fe681057ca2d665970cd5e3935337a0b7c53a5962c70fd23</vt:lpwstr>
  </property>
  <property fmtid="{D5CDD505-2E9C-101B-9397-08002B2CF9AE}" pid="4" name="MediaServiceImageTags">
    <vt:lpwstr/>
  </property>
  <property fmtid="{D5CDD505-2E9C-101B-9397-08002B2CF9AE}" pid="5" name="_ExtendedDescription">
    <vt:lpwstr>Summarises approach to information security and the scope of the ISMS</vt:lpwstr>
  </property>
</Properties>
</file>