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/>
      </w:pPr>
      <w:r>
        <w:rPr/>
        <w:drawing>
          <wp:inline distT="0" distB="0" distL="0" distR="0">
            <wp:extent cx="8863965" cy="3677285"/>
            <wp:effectExtent l="0" t="0" r="0" b="0"/>
            <wp:docPr id="1" name="Picture 1" descr="A purple and black rectangular sig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urple and black rectangular sign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rPr/>
      </w:pPr>
      <w:r>
        <w:rPr/>
        <w:t>INFORMATION SECURITY OBJECTIVES</w:t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  <w:szCs w:val="24"/>
        </w:rPr>
      </w:pPr>
      <w:r>
        <w:rPr>
          <w:sz w:val="28"/>
          <w:szCs w:val="28"/>
        </w:rPr>
        <w:t>Classification</w:t>
      </w:r>
      <w:r>
        <w:rPr>
          <w:color w:val="008CC8"/>
          <w:sz w:val="28"/>
          <w:szCs w:val="28"/>
        </w:rPr>
        <w:t>:</w:t>
      </w:r>
      <w:r>
        <w:rPr/>
        <w:t xml:space="preserve"> </w:t>
      </w:r>
      <w:r>
        <w:rPr>
          <w:b/>
          <w:bCs/>
          <w:sz w:val="24"/>
          <w:szCs w:val="24"/>
        </w:rPr>
        <w:t>Internal</w:t>
      </w:r>
    </w:p>
    <w:p>
      <w:pPr>
        <w:pStyle w:val="Normal"/>
        <w:jc w:val="both"/>
        <w:rPr/>
      </w:pPr>
      <w:r>
        <w:rPr/>
        <w:t>This document is an internal controlled document of Al-Afaq Digital Bank and shall not be shared outside the bank without written authorization from the document owner.</w:t>
      </w:r>
    </w:p>
    <w:tbl>
      <w:tblPr>
        <w:tblStyle w:val="GridTable4-Accent4"/>
        <w:tblW w:w="138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13"/>
        <w:gridCol w:w="1129"/>
        <w:gridCol w:w="1235"/>
        <w:gridCol w:w="1158"/>
        <w:gridCol w:w="1408"/>
        <w:gridCol w:w="1264"/>
        <w:gridCol w:w="6779"/>
      </w:tblGrid>
      <w:tr>
        <w:trPr>
          <w:trHeight w:val="555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F9ED5" w:themeFill="accent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 xml:space="preserve">Version </w:t>
            </w:r>
          </w:p>
        </w:tc>
        <w:tc>
          <w:tcPr>
            <w:tcW w:w="11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F9ED5" w:themeFill="accent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false"/>
                <w:bCs w:val="false"/>
                <w:lang w:val="en-US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Approved By</w:t>
            </w:r>
          </w:p>
        </w:tc>
        <w:tc>
          <w:tcPr>
            <w:tcW w:w="12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F9ED5" w:themeFill="accent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Owner</w:t>
            </w:r>
          </w:p>
        </w:tc>
        <w:tc>
          <w:tcPr>
            <w:tcW w:w="11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F9ED5" w:themeFill="accent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Date Last Updated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</w:tc>
        <w:tc>
          <w:tcPr>
            <w:tcW w:w="14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F9ED5" w:themeFill="accent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Review Frequency</w:t>
            </w:r>
          </w:p>
        </w:tc>
        <w:tc>
          <w:tcPr>
            <w:tcW w:w="12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F9ED5" w:themeFill="accent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 xml:space="preserve">Next Review </w:t>
            </w:r>
          </w:p>
        </w:tc>
        <w:tc>
          <w:tcPr>
            <w:tcW w:w="67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F9ED5" w:themeFill="accent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lang w:val="en-US"/>
              </w:rPr>
            </w:pPr>
            <w:r>
              <w:rPr>
                <w:rFonts w:eastAsia="Calibri" w:cs="Calibri" w:ascii="Calibri" w:hAnsi="Calibri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Comments</w:t>
            </w:r>
          </w:p>
        </w:tc>
      </w:tr>
      <w:tr>
        <w:trPr>
          <w:trHeight w:val="915" w:hRule="atLeast"/>
        </w:trPr>
        <w:tc>
          <w:tcPr>
            <w:tcW w:w="91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color w:themeColor="background1" w:val="FFFFFF"/>
              </w:rPr>
            </w:pPr>
            <w:r>
              <w:rPr>
                <w:rFonts w:eastAsia="" w:cs="Segoe UI"/>
                <w:b w:val="false"/>
                <w:bCs w:val="false"/>
                <w:color w:val="000000"/>
                <w:kern w:val="0"/>
                <w:sz w:val="17"/>
                <w:szCs w:val="17"/>
                <w:lang w:val="en-GB" w:eastAsia="en-US" w:bidi="ar-SA"/>
              </w:rPr>
              <w:t>1.0</w:t>
            </w:r>
          </w:p>
        </w:tc>
        <w:tc>
          <w:tcPr>
            <w:tcW w:w="1129" w:type="dxa"/>
            <w:tcBorders>
              <w:top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themeColor="background1" w:val="FFFFFF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Sarah Al-Harbi, Chief Information Security Officer</w:t>
            </w:r>
          </w:p>
        </w:tc>
        <w:tc>
          <w:tcPr>
            <w:tcW w:w="1235" w:type="dxa"/>
            <w:tcBorders>
              <w:top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themeColor="background1" w:val="FFFFFF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Information Security Management</w:t>
            </w:r>
          </w:p>
        </w:tc>
        <w:tc>
          <w:tcPr>
            <w:tcW w:w="1158" w:type="dxa"/>
            <w:tcBorders>
              <w:top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themeColor="background1" w:val="FFFFFF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13 September 2026</w:t>
            </w:r>
          </w:p>
        </w:tc>
        <w:tc>
          <w:tcPr>
            <w:tcW w:w="1408" w:type="dxa"/>
            <w:tcBorders>
              <w:top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themeColor="background1" w:val="FFFFFF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Annual and upon significant change</w:t>
            </w:r>
          </w:p>
        </w:tc>
        <w:tc>
          <w:tcPr>
            <w:tcW w:w="1264" w:type="dxa"/>
            <w:tcBorders>
              <w:top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themeColor="background1" w:val="FFFFFF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13 September 2027</w:t>
            </w:r>
          </w:p>
        </w:tc>
        <w:tc>
          <w:tcPr>
            <w:tcW w:w="6779" w:type="dxa"/>
            <w:tcBorders>
              <w:top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themeColor="background1" w:val="FFFFFF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Objectives are monitored through the ISMS, risk treatment activities, security metrics and management review.</w:t>
            </w:r>
          </w:p>
        </w:tc>
      </w:tr>
    </w:tbl>
    <w:p>
      <w:pPr>
        <w:pStyle w:val="Heading1"/>
        <w:rPr/>
      </w:pPr>
      <w:bookmarkStart w:id="0" w:name="_Toc483413504"/>
      <w:r>
        <w:rPr/>
        <w:t>Purpose of This Document</w:t>
      </w:r>
      <w:bookmarkEnd w:id="0"/>
    </w:p>
    <w:p>
      <w:pPr>
        <w:pStyle w:val="Normal"/>
        <w:rPr/>
      </w:pPr>
      <w:r>
        <w:rPr/>
        <w:t xml:space="preserve">The following provides a summary of the current objectives for the [Company Name]’s Information Security Management System </w:t>
      </w:r>
    </w:p>
    <w:p>
      <w:pPr>
        <w:pStyle w:val="Heading1"/>
        <w:rPr/>
      </w:pPr>
      <w:bookmarkStart w:id="1" w:name="_Toc609678317"/>
      <w:r>
        <w:rPr/>
        <w:t>Key Objectives</w:t>
      </w:r>
      <w:bookmarkEnd w:id="1"/>
    </w:p>
    <w:p>
      <w:pPr>
        <w:pStyle w:val="Normal"/>
        <w:rPr/>
      </w:pPr>
      <w:r>
        <w:rPr/>
      </w:r>
    </w:p>
    <w:tbl>
      <w:tblPr>
        <w:tblStyle w:val="ListTable3-Accent4"/>
        <w:tblW w:w="139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6"/>
        <w:gridCol w:w="3724"/>
        <w:gridCol w:w="1276"/>
        <w:gridCol w:w="2126"/>
        <w:gridCol w:w="2127"/>
        <w:gridCol w:w="147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16" w:type="dxa"/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bottom w:val="nil"/>
              <w:right w:val="nil"/>
            </w:tcBorders>
            <w:shd w:color="auto" w:fill="0F9ED5" w:themeFill="accent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kern w:val="0"/>
                <w:sz w:val="22"/>
                <w:szCs w:val="22"/>
                <w:lang w:val="en-GB" w:eastAsia="en-GB" w:bidi="ar-SA"/>
              </w:rPr>
              <w:t>Objective</w:t>
            </w:r>
          </w:p>
        </w:tc>
        <w:tc>
          <w:tcPr>
            <w:tcW w:w="3724" w:type="dxa"/>
            <w:tcBorders>
              <w:left w:val="nil"/>
              <w:bottom w:val="nil"/>
              <w:right w:val="nil"/>
            </w:tcBorders>
            <w:shd w:color="auto" w:fill="0F9ED5" w:themeFill="accent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kern w:val="0"/>
                <w:sz w:val="22"/>
                <w:szCs w:val="22"/>
                <w:lang w:val="en-GB" w:eastAsia="en-GB" w:bidi="ar-SA"/>
              </w:rPr>
              <w:t>Key Result</w:t>
            </w: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  <w:shd w:color="auto" w:fill="0F9ED5" w:themeFill="accent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kern w:val="0"/>
                <w:sz w:val="22"/>
                <w:szCs w:val="22"/>
                <w:lang w:val="en-GB" w:eastAsia="en-GB" w:bidi="ar-SA"/>
              </w:rPr>
              <w:t>Target</w:t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shd w:color="auto" w:fill="0F9ED5" w:themeFill="accent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kern w:val="0"/>
                <w:sz w:val="22"/>
                <w:szCs w:val="22"/>
                <w:lang w:val="en-GB" w:eastAsia="en-GB" w:bidi="ar-SA"/>
              </w:rPr>
              <w:t>Owner</w:t>
            </w: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color="auto" w:fill="0F9ED5" w:themeFill="accent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kern w:val="0"/>
                <w:sz w:val="22"/>
                <w:szCs w:val="22"/>
                <w:lang w:val="en-GB" w:eastAsia="en-GB" w:bidi="ar-SA"/>
              </w:rPr>
              <w:t>Timeline</w:t>
            </w:r>
          </w:p>
        </w:tc>
        <w:tc>
          <w:tcPr>
            <w:tcW w:w="1478" w:type="dxa"/>
            <w:tcBorders>
              <w:left w:val="nil"/>
              <w:bottom w:val="nil"/>
            </w:tcBorders>
            <w:shd w:color="auto" w:fill="0F9ED5" w:themeFill="accent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color w:themeColor="background1" w:val="FFFFFF"/>
                <w:kern w:val="0"/>
                <w:sz w:val="22"/>
                <w:szCs w:val="22"/>
                <w:lang w:val="en-GB" w:eastAsia="en-GB" w:bidi="ar-SA"/>
              </w:rPr>
              <w:t>Status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6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b w:val="false"/>
                <w:bCs w:val="false"/>
                <w:color w:val="000000"/>
                <w:kern w:val="0"/>
                <w:sz w:val="17"/>
                <w:szCs w:val="17"/>
                <w:lang w:val="en-GB" w:eastAsia="en-US" w:bidi="ar-SA"/>
              </w:rPr>
              <w:t>1. Establish a Robust ISMS Framework</w:t>
            </w:r>
          </w:p>
        </w:tc>
        <w:tc>
          <w:tcPr>
            <w:tcW w:w="372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Complete and maintain the defined ISMS scope covering information assets, banking applications, infrastructure, personnel, suppliers and digital banking services.</w:t>
            </w:r>
          </w:p>
        </w:tc>
        <w:tc>
          <w:tcPr>
            <w:tcW w:w="127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100%</w:t>
            </w:r>
          </w:p>
        </w:tc>
        <w:tc>
          <w:tcPr>
            <w:tcW w:w="212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Information Security Management</w:t>
            </w:r>
          </w:p>
        </w:tc>
        <w:tc>
          <w:tcPr>
            <w:tcW w:w="2127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Initial implementation</w:t>
            </w:r>
          </w:p>
        </w:tc>
        <w:tc>
          <w:tcPr>
            <w:tcW w:w="1478" w:type="dxa"/>
            <w:tcBorders>
              <w:lef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/>
        <w:tc>
          <w:tcPr>
            <w:tcW w:w="3216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kern w:val="0"/>
                <w:sz w:val="22"/>
                <w:szCs w:val="22"/>
                <w:lang w:val="en-GB" w:eastAsia="en-GB" w:bidi="ar-SA"/>
              </w:rPr>
            </w:r>
          </w:p>
        </w:tc>
        <w:tc>
          <w:tcPr>
            <w:tcW w:w="37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Approve and maintain the information security policy and supporting policies required by the ISMS.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100%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CISO / Information Security Management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Initial implementation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6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kern w:val="0"/>
                <w:sz w:val="22"/>
                <w:szCs w:val="22"/>
                <w:lang w:val="en-GB" w:eastAsia="en-GB" w:bidi="ar-SA"/>
              </w:rPr>
            </w:r>
          </w:p>
        </w:tc>
        <w:tc>
          <w:tcPr>
            <w:tcW w:w="372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Conduct and maintain information security risk assessments with documented risk treatment plans.</w:t>
            </w:r>
          </w:p>
        </w:tc>
        <w:tc>
          <w:tcPr>
            <w:tcW w:w="127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100%</w:t>
            </w:r>
          </w:p>
        </w:tc>
        <w:tc>
          <w:tcPr>
            <w:tcW w:w="212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Risk Management</w:t>
            </w:r>
          </w:p>
        </w:tc>
        <w:tc>
          <w:tcPr>
            <w:tcW w:w="2127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Initial implementation and ongoing review</w:t>
            </w:r>
          </w:p>
        </w:tc>
        <w:tc>
          <w:tcPr>
            <w:tcW w:w="1478" w:type="dxa"/>
            <w:tcBorders>
              <w:lef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/>
        <w:tc>
          <w:tcPr>
            <w:tcW w:w="3216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kern w:val="0"/>
                <w:sz w:val="22"/>
                <w:szCs w:val="22"/>
                <w:lang w:val="en-GB" w:eastAsia="en-GB" w:bidi="ar-SA"/>
              </w:rPr>
            </w:r>
          </w:p>
        </w:tc>
        <w:tc>
          <w:tcPr>
            <w:tcW w:w="37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Maintain the information security risk register so that identified risks are recorded, owned and reviewed.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100%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Risk Management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Ongoing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>
          <w:trHeight w:val="43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6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b w:val="false"/>
                <w:bCs w:val="false"/>
                <w:color w:val="000000"/>
                <w:kern w:val="0"/>
                <w:sz w:val="17"/>
                <w:szCs w:val="17"/>
                <w:lang w:val="en-GB" w:eastAsia="en-US" w:bidi="ar-SA"/>
              </w:rPr>
              <w:t>2. Strengthen Vulnerability and Secure Development Management</w:t>
            </w:r>
          </w:p>
        </w:tc>
        <w:tc>
          <w:tcPr>
            <w:tcW w:w="372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Address all remaining high-risk Afaq Plus vulnerabilities identified by the latest assessment.</w:t>
            </w:r>
          </w:p>
        </w:tc>
        <w:tc>
          <w:tcPr>
            <w:tcW w:w="127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All high-risk findings</w:t>
            </w:r>
          </w:p>
        </w:tc>
        <w:tc>
          <w:tcPr>
            <w:tcW w:w="212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CISO / Banking Applications</w:t>
            </w:r>
          </w:p>
        </w:tc>
        <w:tc>
          <w:tcPr>
            <w:tcW w:w="2127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Priority remediation cycle</w:t>
            </w:r>
          </w:p>
        </w:tc>
        <w:tc>
          <w:tcPr>
            <w:tcW w:w="1478" w:type="dxa"/>
            <w:tcBorders>
              <w:lef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/>
        <w:tc>
          <w:tcPr>
            <w:tcW w:w="3216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kern w:val="0"/>
                <w:sz w:val="22"/>
                <w:szCs w:val="22"/>
                <w:lang w:val="en-GB" w:eastAsia="en-GB" w:bidi="ar-SA"/>
              </w:rPr>
            </w:r>
          </w:p>
        </w:tc>
        <w:tc>
          <w:tcPr>
            <w:tcW w:w="37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Track and remediate identified medium-risk vulnerabilities affecting Afaq Net and internal network systems.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All identified findings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IT Security and IT Teams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Ongoing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6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kern w:val="0"/>
                <w:sz w:val="22"/>
                <w:szCs w:val="22"/>
                <w:lang w:val="en-GB" w:eastAsia="en-GB" w:bidi="ar-SA"/>
              </w:rPr>
            </w:r>
          </w:p>
        </w:tc>
        <w:tc>
          <w:tcPr>
            <w:tcW w:w="372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Prevent use of real operational information in development and test environments and maintain separation from production.</w:t>
            </w:r>
          </w:p>
        </w:tc>
        <w:tc>
          <w:tcPr>
            <w:tcW w:w="127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Controlled test information</w:t>
            </w:r>
          </w:p>
        </w:tc>
        <w:tc>
          <w:tcPr>
            <w:tcW w:w="212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Software Development Manager</w:t>
            </w:r>
          </w:p>
        </w:tc>
        <w:tc>
          <w:tcPr>
            <w:tcW w:w="2127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Ongoing</w:t>
            </w:r>
          </w:p>
        </w:tc>
        <w:tc>
          <w:tcPr>
            <w:tcW w:w="1478" w:type="dxa"/>
            <w:tcBorders>
              <w:lef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/>
        <w:tc>
          <w:tcPr>
            <w:tcW w:w="3216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b w:val="false"/>
                <w:bCs w:val="false"/>
                <w:color w:val="000000"/>
                <w:kern w:val="0"/>
                <w:sz w:val="17"/>
                <w:szCs w:val="17"/>
                <w:lang w:val="en-GB" w:eastAsia="en-US" w:bidi="ar-SA"/>
              </w:rPr>
              <w:t>3. Improve Security Awareness and Access Governance</w:t>
            </w:r>
          </w:p>
        </w:tc>
        <w:tc>
          <w:tcPr>
            <w:tcW w:w="37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Deliver information security awareness activities to employees, with emphasis on phishing, reporting and secure handling of information.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All employees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CISO / HR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Ongoing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6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kern w:val="0"/>
                <w:sz w:val="22"/>
                <w:szCs w:val="22"/>
                <w:lang w:val="en-GB" w:eastAsia="en-GB" w:bidi="ar-SA"/>
              </w:rPr>
            </w:r>
          </w:p>
        </w:tc>
        <w:tc>
          <w:tcPr>
            <w:tcW w:w="372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Improve phishing resilience from the current simulation baseline of 25% link clicks, 12% credential submissions and 8% reporting.</w:t>
            </w:r>
          </w:p>
        </w:tc>
        <w:tc>
          <w:tcPr>
            <w:tcW w:w="127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Improvement against baseline</w:t>
            </w:r>
          </w:p>
        </w:tc>
        <w:tc>
          <w:tcPr>
            <w:tcW w:w="212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CISO / HR</w:t>
            </w:r>
          </w:p>
        </w:tc>
        <w:tc>
          <w:tcPr>
            <w:tcW w:w="2127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Next awareness cycle</w:t>
            </w:r>
          </w:p>
        </w:tc>
        <w:tc>
          <w:tcPr>
            <w:tcW w:w="1478" w:type="dxa"/>
            <w:tcBorders>
              <w:lef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/>
        <w:tc>
          <w:tcPr>
            <w:tcW w:w="3216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kern w:val="0"/>
                <w:sz w:val="22"/>
                <w:szCs w:val="22"/>
                <w:lang w:val="en-GB" w:eastAsia="en-GB" w:bidi="ar-SA"/>
              </w:rPr>
            </w:r>
          </w:p>
        </w:tc>
        <w:tc>
          <w:tcPr>
            <w:tcW w:w="37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Review privileged and sensitive access, including inherited access to HR folders and manually managed administrative credentials.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Documented access reviews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IT Manager / CISO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Ongoing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6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b w:val="false"/>
                <w:bCs w:val="false"/>
                <w:color w:val="000000"/>
                <w:kern w:val="0"/>
                <w:sz w:val="17"/>
                <w:szCs w:val="17"/>
                <w:lang w:val="en-GB" w:eastAsia="en-US" w:bidi="ar-SA"/>
              </w:rPr>
              <w:t>4. Improve Monitoring, Threat Intelligence and Resilience</w:t>
            </w:r>
          </w:p>
        </w:tc>
        <w:tc>
          <w:tcPr>
            <w:tcW w:w="372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Improve security event monitoring beyond manual log analysis and establish consistent review of security events.</w:t>
            </w:r>
          </w:p>
        </w:tc>
        <w:tc>
          <w:tcPr>
            <w:tcW w:w="127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Documented monitoring process</w:t>
            </w:r>
          </w:p>
        </w:tc>
        <w:tc>
          <w:tcPr>
            <w:tcW w:w="212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SOC Manager</w:t>
            </w:r>
          </w:p>
        </w:tc>
        <w:tc>
          <w:tcPr>
            <w:tcW w:w="2127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ISMS implementation cycle</w:t>
            </w:r>
          </w:p>
        </w:tc>
        <w:tc>
          <w:tcPr>
            <w:tcW w:w="1478" w:type="dxa"/>
            <w:tcBorders>
              <w:lef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/>
        <w:tc>
          <w:tcPr>
            <w:tcW w:w="3216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kern w:val="0"/>
                <w:sz w:val="22"/>
                <w:szCs w:val="22"/>
                <w:lang w:val="en-GB" w:eastAsia="en-GB" w:bidi="ar-SA"/>
              </w:rPr>
            </w:r>
          </w:p>
        </w:tc>
        <w:tc>
          <w:tcPr>
            <w:tcW w:w="37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Establish a systematic process for collecting and analysing cyber threat intelligence relevant to the bank.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Documented threat intelligence process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CISO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ISMS implementation cycle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6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kern w:val="0"/>
                <w:sz w:val="22"/>
                <w:szCs w:val="22"/>
                <w:lang w:val="en-GB" w:eastAsia="en-GB" w:bidi="ar-SA"/>
              </w:rPr>
            </w:r>
          </w:p>
        </w:tc>
        <w:tc>
          <w:tcPr>
            <w:tcW w:w="372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Strengthen change and recovery practices to reduce recurrence of service disruption caused by critical network configuration errors.</w:t>
            </w:r>
          </w:p>
        </w:tc>
        <w:tc>
          <w:tcPr>
            <w:tcW w:w="127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Documented change and recovery controls</w:t>
            </w:r>
          </w:p>
        </w:tc>
        <w:tc>
          <w:tcPr>
            <w:tcW w:w="212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Network Manager</w:t>
            </w:r>
          </w:p>
        </w:tc>
        <w:tc>
          <w:tcPr>
            <w:tcW w:w="2127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Ongoing</w:t>
            </w:r>
          </w:p>
        </w:tc>
        <w:tc>
          <w:tcPr>
            <w:tcW w:w="1478" w:type="dxa"/>
            <w:tcBorders>
              <w:lef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kern w:val="0"/>
                <w:sz w:val="22"/>
                <w:szCs w:val="22"/>
                <w:lang w:val="en-GB" w:eastAsia="en-GB" w:bidi="ar-SA"/>
              </w:rPr>
            </w:r>
          </w:p>
        </w:tc>
      </w:tr>
      <w:tr>
        <w:trPr/>
        <w:tc>
          <w:tcPr>
            <w:tcW w:w="3216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b w:val="false"/>
                <w:bCs w:val="false"/>
                <w:color w:val="000000"/>
                <w:kern w:val="0"/>
                <w:sz w:val="17"/>
                <w:szCs w:val="17"/>
                <w:lang w:val="en-GB" w:eastAsia="en-US" w:bidi="ar-SA"/>
              </w:rPr>
              <w:t>5. Strengthen Compliance and Customer Information Protection</w:t>
            </w:r>
          </w:p>
        </w:tc>
        <w:tc>
          <w:tcPr>
            <w:tcW w:w="37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Maintain compliance evidence for applicable SAMA, SDAIA and personal data protection requirements.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100% applicable requirements tracked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Legal / Compliance / Information Security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Ongoing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Planned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6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kern w:val="0"/>
                <w:sz w:val="22"/>
                <w:szCs w:val="22"/>
                <w:lang w:val="en-GB" w:eastAsia="en-GB" w:bidi="ar-SA"/>
              </w:rPr>
            </w:r>
          </w:p>
        </w:tc>
        <w:tc>
          <w:tcPr>
            <w:tcW w:w="372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Improve protection of customer and employee information through appropriate access, endpoint protection, secure handling and privacy controls.</w:t>
            </w:r>
          </w:p>
        </w:tc>
        <w:tc>
          <w:tcPr>
            <w:tcW w:w="127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Documented control coverage</w:t>
            </w:r>
          </w:p>
        </w:tc>
        <w:tc>
          <w:tcPr>
            <w:tcW w:w="212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CISO / IT / HR</w:t>
            </w:r>
          </w:p>
        </w:tc>
        <w:tc>
          <w:tcPr>
            <w:tcW w:w="2127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Ongoing</w:t>
            </w:r>
          </w:p>
        </w:tc>
        <w:tc>
          <w:tcPr>
            <w:tcW w:w="1478" w:type="dxa"/>
            <w:tcBorders>
              <w:lef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Planned</w:t>
            </w:r>
          </w:p>
        </w:tc>
      </w:tr>
      <w:tr>
        <w:trPr/>
        <w:tc>
          <w:tcPr>
            <w:tcW w:w="3216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Times New Roman"/>
                <w:lang w:eastAsia="en-GB"/>
              </w:rPr>
            </w:pPr>
            <w:r>
              <w:rPr>
                <w:rFonts w:eastAsia="Times New Roman" w:cs="Arial"/>
                <w:b/>
                <w:bCs/>
                <w:kern w:val="0"/>
                <w:sz w:val="22"/>
                <w:szCs w:val="22"/>
                <w:lang w:val="en-GB" w:eastAsia="en-GB" w:bidi="ar-SA"/>
              </w:rPr>
            </w:r>
          </w:p>
        </w:tc>
        <w:tc>
          <w:tcPr>
            <w:tcW w:w="372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Review supplier and cloud security arrangements for AWS, the mobile application development provider and other material service providers.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Documented supplier security reviews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CIO / CISO</w:t>
            </w:r>
          </w:p>
        </w:tc>
        <w:tc>
          <w:tcPr>
            <w:tcW w:w="212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Ongoing</w:t>
            </w:r>
          </w:p>
        </w:tc>
        <w:tc>
          <w:tcPr>
            <w:tcW w:w="1478" w:type="dxa"/>
            <w:tcBorders>
              <w:top w:val="nil"/>
              <w:lef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" w:cs="Segoe UI"/>
                <w:color w:val="000000"/>
                <w:kern w:val="0"/>
                <w:sz w:val="17"/>
                <w:szCs w:val="17"/>
                <w:lang w:val="en-GB" w:eastAsia="en-US" w:bidi="ar-SA"/>
              </w:rPr>
              <w:t>Planned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rPr>
          <w:rFonts w:ascii="Arial" w:hAnsi="Arial" w:eastAsia="Times New Roman" w:cs="Arial"/>
          <w:vanish/>
          <w:sz w:val="16"/>
          <w:szCs w:val="16"/>
          <w:lang w:eastAsia="en-GB"/>
        </w:rPr>
      </w:pPr>
      <w:r>
        <w:rPr>
          <w:rFonts w:eastAsia="Times New Roman" w:cs="Arial" w:ascii="Arial" w:hAnsi="Arial"/>
          <w:vanish/>
          <w:sz w:val="16"/>
          <w:szCs w:val="16"/>
          <w:lang w:eastAsia="en-GB"/>
        </w:rPr>
        <w:t>Top of Form</w:t>
      </w:r>
    </w:p>
    <w:p>
      <w:pPr>
        <w:pStyle w:val="Normal"/>
        <w:pBdr>
          <w:top w:val="single" w:sz="6" w:space="1" w:color="000000"/>
        </w:pBdr>
        <w:spacing w:lineRule="auto" w:line="240" w:before="0" w:after="0"/>
        <w:jc w:val="center"/>
        <w:rPr>
          <w:rFonts w:ascii="Arial" w:hAnsi="Arial" w:eastAsia="Times New Roman" w:cs="Arial"/>
          <w:vanish/>
          <w:sz w:val="16"/>
          <w:szCs w:val="16"/>
          <w:lang w:eastAsia="en-GB"/>
        </w:rPr>
      </w:pPr>
      <w:r>
        <w:rPr>
          <w:rFonts w:eastAsia="Times New Roman" w:cs="Arial" w:ascii="Arial" w:hAnsi="Arial"/>
          <w:vanish/>
          <w:sz w:val="16"/>
          <w:szCs w:val="16"/>
          <w:lang w:eastAsia="en-GB"/>
        </w:rPr>
        <w:t>Bottom of Form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Segoe U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60" w:hRule="atLeast"/>
      </w:trPr>
      <w:tc>
        <w:tcPr>
          <w:tcW w:w="3005" w:type="dxa"/>
          <w:tcBorders/>
        </w:tcPr>
        <w:p>
          <w:pPr>
            <w:pStyle w:val="Head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rPr/>
          </w:pPr>
          <w:r>
            <w:rPr/>
          </w:r>
        </w:p>
      </w:tc>
    </w:tr>
  </w:tbl>
  <w:sdt>
    <w:sdtPr>
      <w:docPartObj>
        <w:docPartGallery w:val="Page Numbers (Top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4</w:t>
        </w:r>
        <w:r>
          <w:rPr>
            <w:sz w:val="24"/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4</w:t>
        </w:r>
        <w:r>
          <w:rPr>
            <w:sz w:val="24"/>
            <w:b/>
            <w:szCs w:val="24"/>
            <w:bCs/>
          </w:rPr>
          <w:fldChar w:fldCharType="end"/>
        </w:r>
      </w:p>
      <w:p>
        <w:pPr>
          <w:pStyle w:val="Footer"/>
          <w:rPr/>
        </w:pPr>
        <w:r>
          <w:rPr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60" w:hRule="atLeast"/>
      </w:trPr>
      <w:tc>
        <w:tcPr>
          <w:tcW w:w="3005" w:type="dxa"/>
          <w:tcBorders/>
        </w:tcPr>
        <w:p>
          <w:pPr>
            <w:pStyle w:val="Head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rPr/>
          </w:pPr>
          <w:r>
            <w:rPr/>
          </w:r>
        </w:p>
      </w:tc>
    </w:tr>
  </w:tbl>
  <w:sdt>
    <w:sdtPr>
      <w:docPartObj>
        <w:docPartGallery w:val="Page Numbers (Top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4</w:t>
        </w:r>
        <w:r>
          <w:rPr>
            <w:sz w:val="24"/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4</w:t>
        </w:r>
        <w:r>
          <w:rPr>
            <w:sz w:val="24"/>
            <w:b/>
            <w:szCs w:val="24"/>
            <w:bCs/>
          </w:rPr>
          <w:fldChar w:fldCharType="end"/>
        </w:r>
      </w:p>
      <w:p>
        <w:pPr>
          <w:pStyle w:val="Footer"/>
          <w:rPr/>
        </w:pPr>
        <w:r>
          <w:rPr/>
        </w:r>
      </w:p>
      <w:p>
        <w:pPr>
          <w:pStyle w:val="Footer"/>
          <w:rPr/>
        </w:pPr>
        <w:r>
          <w:rPr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ar-SA"/>
  <w:docVars>
    <w:docVar w:name="__Grammarly_42____i" w:val="H4sIAAAAAAAEAKtWckksSQxILCpxzi/NK1GyMqwFAAEhoTITAAAA"/>
    <w:docVar w:name="__Grammarly_42___1" w:val="H4sIAAAAAAAEAKtWcslP9kxRslIyNDY2MzI1MrAwMjY0MTG1NDNU0lEKTi0uzszPAykwqgUAjH9OTC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Arial" w:asciiTheme="minorHAnsi" w:cstheme="minorBidi" w:eastAsiaTheme="minorEastAsia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3db5"/>
    <w:pPr>
      <w:widowControl/>
      <w:bidi w:val="0"/>
      <w:spacing w:lineRule="auto" w:line="259" w:before="0" w:after="160"/>
      <w:jc w:val="left"/>
    </w:pPr>
    <w:rPr>
      <w:rFonts w:ascii="Aptos" w:hAnsi="Aptos" w:eastAsia="" w:cs="Arial" w:asciiTheme="minorHAnsi" w:cstheme="minorBidi" w:eastAsiaTheme="minorEastAsia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db5"/>
    <w:pPr>
      <w:keepNext w:val="true"/>
      <w:keepLines/>
      <w:spacing w:lineRule="auto" w:line="240" w:before="400" w:after="4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80" w:val="0A2F4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db5"/>
    <w:pPr>
      <w:keepNext w:val="true"/>
      <w:keepLines/>
      <w:spacing w:lineRule="auto" w:line="240" w:before="40" w:after="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db5"/>
    <w:pPr>
      <w:keepNext w:val="true"/>
      <w:keepLines/>
      <w:spacing w:lineRule="auto" w:line="240" w:before="40" w:after="0"/>
      <w:outlineLvl w:val="2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b5"/>
    <w:pPr>
      <w:keepNext w:val="true"/>
      <w:keepLines/>
      <w:spacing w:before="40" w:after="0"/>
      <w:outlineLvl w:val="3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db5"/>
    <w:pPr>
      <w:keepNext w:val="true"/>
      <w:keepLines/>
      <w:spacing w:before="40" w:after="0"/>
      <w:outlineLvl w:val="4"/>
    </w:pPr>
    <w:rPr>
      <w:rFonts w:ascii="Aptos Display" w:hAnsi="Aptos Display" w:eastAsia="" w:cs="Times New Roman" w:asciiTheme="majorHAnsi" w:cstheme="majorBidi" w:eastAsiaTheme="majorEastAsia" w:hAnsiTheme="majorHAnsi"/>
      <w:caps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db5"/>
    <w:pPr>
      <w:keepNext w:val="true"/>
      <w:keepLines/>
      <w:spacing w:before="40" w:after="0"/>
      <w:outlineLvl w:val="5"/>
    </w:pPr>
    <w:rPr>
      <w:rFonts w:ascii="Aptos Display" w:hAnsi="Aptos Display" w:eastAsia="" w:cs="Times New Roman" w:asciiTheme="majorHAnsi" w:cstheme="majorBidi" w:eastAsiaTheme="majorEastAsia" w:hAnsiTheme="majorHAnsi"/>
      <w:i/>
      <w:iCs/>
      <w:caps/>
      <w:color w:themeColor="accent1" w:themeShade="80" w:val="0A2F4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db5"/>
    <w:pPr>
      <w:keepNext w:val="true"/>
      <w:keepLines/>
      <w:spacing w:before="40" w:after="0"/>
      <w:outlineLvl w:val="6"/>
    </w:pPr>
    <w:rPr>
      <w:rFonts w:ascii="Aptos Display" w:hAnsi="Aptos Display" w:eastAsia="" w:cs="Times New Roman" w:asciiTheme="majorHAnsi" w:cstheme="majorBidi" w:eastAsiaTheme="majorEastAsia" w:hAnsiTheme="majorHAnsi"/>
      <w:b/>
      <w:bCs/>
      <w:color w:themeColor="accent1" w:themeShade="80" w:val="0A2F4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db5"/>
    <w:pPr>
      <w:keepNext w:val="true"/>
      <w:keepLines/>
      <w:spacing w:before="40" w:after="0"/>
      <w:outlineLvl w:val="7"/>
    </w:pPr>
    <w:rPr>
      <w:rFonts w:ascii="Aptos Display" w:hAnsi="Aptos Display" w:eastAsia="" w:cs="Times New Roman" w:asciiTheme="majorHAnsi" w:cstheme="majorBidi" w:eastAsiaTheme="majorEastAsia" w:hAnsiTheme="majorHAnsi"/>
      <w:b/>
      <w:bCs/>
      <w:i/>
      <w:iCs/>
      <w:color w:themeColor="accent1" w:themeShade="80" w:val="0A2F4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db5"/>
    <w:pPr>
      <w:keepNext w:val="true"/>
      <w:keepLines/>
      <w:spacing w:before="40" w:after="0"/>
      <w:outlineLvl w:val="8"/>
    </w:pPr>
    <w:rPr>
      <w:rFonts w:ascii="Aptos Display" w:hAnsi="Aptos Display" w:eastAsia="" w:cs="Times New Roman" w:asciiTheme="majorHAnsi" w:cstheme="majorBidi" w:eastAsiaTheme="majorEastAsia" w:hAnsiTheme="majorHAnsi"/>
      <w:i/>
      <w:iCs/>
      <w:color w:themeColor="accent1" w:themeShade="80" w:val="0A2F4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467886"/>
      <w:u w:val="single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e6d91"/>
    <w:rPr>
      <w:color w:val="605E5C"/>
      <w:shd w:fill="E1DFDD" w:val="clear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33db5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33db5"/>
    <w:rPr>
      <w:rFonts w:ascii="Aptos Display" w:hAnsi="Aptos Display" w:eastAsia="" w:cs="Times New Roman" w:asciiTheme="majorHAnsi" w:cstheme="majorBidi" w:eastAsiaTheme="majorEastAsia" w:hAnsiTheme="majorHAnsi"/>
      <w:color w:themeColor="accent1" w:themeShade="80" w:val="0A2F4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33db5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qFormat/>
    <w:rsid w:val="00f33db5"/>
    <w:rPr>
      <w:rFonts w:ascii="Aptos Display" w:hAnsi="Aptos Display" w:eastAsia="" w:cs="Times New Roman" w:asciiTheme="majorHAnsi" w:cstheme="majorBidi" w:eastAsiaTheme="majorEastAsia" w:hAnsiTheme="majorHAnsi"/>
      <w:caps/>
      <w:color w:themeColor="text2" w:val="0E2841"/>
      <w:spacing w:val="-15"/>
      <w:sz w:val="72"/>
      <w:szCs w:val="72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8d1f7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1ebf"/>
    <w:rPr>
      <w:color w:themeColor="followedHyperlink" w:val="96607D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33db5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33db5"/>
    <w:rPr>
      <w:rFonts w:ascii="Aptos Display" w:hAnsi="Aptos Display" w:eastAsia="" w:cs="Times New Roman" w:asciiTheme="majorHAnsi" w:cstheme="majorBidi" w:eastAsiaTheme="majorEastAsia" w:hAnsiTheme="majorHAnsi"/>
      <w:caps/>
      <w:color w:themeColor="accent1" w:themeShade="bf" w:val="0F4761"/>
    </w:rPr>
  </w:style>
  <w:style w:type="character" w:styleId="PlaceholderText">
    <w:name w:val="Placeholder Text"/>
    <w:basedOn w:val="DefaultParagraphFont"/>
    <w:uiPriority w:val="99"/>
    <w:semiHidden/>
    <w:qFormat/>
    <w:rsid w:val="006760a4"/>
    <w:rPr>
      <w:color w:val="808080"/>
    </w:rPr>
  </w:style>
  <w:style w:type="character" w:styleId="cf01" w:customStyle="1">
    <w:name w:val="cf01"/>
    <w:basedOn w:val="DefaultParagraphFont"/>
    <w:qFormat/>
    <w:rsid w:val="008b1ec8"/>
    <w:rPr>
      <w:rFonts w:ascii="Segoe UI" w:hAnsi="Segoe UI" w:cs="Segoe UI"/>
      <w:sz w:val="18"/>
      <w:szCs w:val="18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33db5"/>
    <w:rPr>
      <w:rFonts w:ascii="Aptos Display" w:hAnsi="Aptos Display" w:eastAsia="" w:cs="Times New Roman" w:asciiTheme="majorHAnsi" w:cstheme="majorBidi" w:eastAsiaTheme="majorEastAsia" w:hAnsiTheme="majorHAnsi"/>
      <w:color w:themeColor="accent1" w:val="156082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33db5"/>
    <w:rPr>
      <w:rFonts w:ascii="Aptos Display" w:hAnsi="Aptos Display" w:eastAsia="" w:cs="Times New Roman" w:asciiTheme="majorHAnsi" w:cstheme="majorBidi" w:eastAsiaTheme="majorEastAsia" w:hAnsiTheme="majorHAnsi"/>
      <w:i/>
      <w:iCs/>
      <w:caps/>
      <w:color w:themeColor="accent1" w:themeShade="80" w:val="0A2F4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33db5"/>
    <w:rPr>
      <w:rFonts w:ascii="Aptos Display" w:hAnsi="Aptos Display" w:eastAsia="" w:cs="Times New Roman" w:asciiTheme="majorHAnsi" w:cstheme="majorBidi" w:eastAsiaTheme="majorEastAsia" w:hAnsiTheme="majorHAnsi"/>
      <w:b/>
      <w:bCs/>
      <w:color w:themeColor="accent1" w:themeShade="80" w:val="0A2F41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33db5"/>
    <w:rPr>
      <w:rFonts w:ascii="Aptos Display" w:hAnsi="Aptos Display" w:eastAsia="" w:cs="Times New Roman" w:asciiTheme="majorHAnsi" w:cstheme="majorBidi" w:eastAsiaTheme="majorEastAsia" w:hAnsiTheme="majorHAnsi"/>
      <w:b/>
      <w:bCs/>
      <w:i/>
      <w:iCs/>
      <w:color w:themeColor="accent1" w:themeShade="80" w:val="0A2F4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33db5"/>
    <w:rPr>
      <w:rFonts w:ascii="Aptos Display" w:hAnsi="Aptos Display" w:eastAsia="" w:cs="Times New Roman" w:asciiTheme="majorHAnsi" w:cstheme="majorBidi" w:eastAsiaTheme="majorEastAsia" w:hAnsiTheme="majorHAnsi"/>
      <w:i/>
      <w:iCs/>
      <w:color w:themeColor="accent1" w:themeShade="80" w:val="0A2F41"/>
    </w:rPr>
  </w:style>
  <w:style w:type="character" w:styleId="Strong">
    <w:name w:val="Strong"/>
    <w:basedOn w:val="DefaultParagraphFont"/>
    <w:uiPriority w:val="22"/>
    <w:qFormat/>
    <w:rsid w:val="00f33db5"/>
    <w:rPr>
      <w:b/>
      <w:bCs/>
    </w:rPr>
  </w:style>
  <w:style w:type="character" w:styleId="Emphasis">
    <w:name w:val="Emphasis"/>
    <w:basedOn w:val="DefaultParagraphFont"/>
    <w:uiPriority w:val="20"/>
    <w:qFormat/>
    <w:rsid w:val="00f33db5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f33db5"/>
    <w:rPr>
      <w:color w:themeColor="text2" w:val="0E284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33db5"/>
    <w:rPr>
      <w:rFonts w:ascii="Aptos Display" w:hAnsi="Aptos Display" w:eastAsia="" w:cs="Times New Roman" w:asciiTheme="majorHAnsi" w:cstheme="majorBidi" w:eastAsiaTheme="majorEastAsia" w:hAnsiTheme="majorHAnsi"/>
      <w:color w:themeColor="text2" w:val="0E2841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33db5"/>
    <w:rPr>
      <w:i/>
      <w:iCs/>
      <w:color w:themeColor="text1" w:themeTint="a6" w:val="595959"/>
    </w:rPr>
  </w:style>
  <w:style w:type="character" w:styleId="IntenseEmphasis">
    <w:name w:val="Intense Emphasis"/>
    <w:basedOn w:val="DefaultParagraphFont"/>
    <w:uiPriority w:val="21"/>
    <w:qFormat/>
    <w:rsid w:val="00f33db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33db5"/>
    <w:rPr>
      <w:smallCaps/>
      <w:color w:themeColor="text1" w:themeTint="a6" w:val="595959"/>
      <w:u w:val="none" w:color="7F7F7F" w:themeColor="dark1" w:themeTint="80"/>
    </w:rPr>
  </w:style>
  <w:style w:type="character" w:styleId="IntenseReference">
    <w:name w:val="Intense Reference"/>
    <w:basedOn w:val="DefaultParagraphFont"/>
    <w:uiPriority w:val="32"/>
    <w:qFormat/>
    <w:rsid w:val="00f33db5"/>
    <w:rPr>
      <w:b/>
      <w:bCs/>
      <w:smallCaps/>
      <w:color w:themeColor="text2" w:val="0E2841"/>
      <w:u w:val="single"/>
    </w:rPr>
  </w:style>
  <w:style w:type="character" w:styleId="BookTitle">
    <w:name w:val="Book Title"/>
    <w:basedOn w:val="DefaultParagraphFont"/>
    <w:uiPriority w:val="33"/>
    <w:qFormat/>
    <w:rsid w:val="00f33db5"/>
    <w:rPr>
      <w:b/>
      <w:bCs/>
      <w:smallCaps/>
      <w:spacing w:val="10"/>
    </w:rPr>
  </w:style>
  <w:style w:type="character" w:styleId="line-clamp-1" w:customStyle="1">
    <w:name w:val="line-clamp-1"/>
    <w:basedOn w:val="DefaultParagraphFont"/>
    <w:qFormat/>
    <w:rsid w:val="00db25a4"/>
    <w:rPr/>
  </w:style>
  <w:style w:type="character" w:styleId="z-TopofFormChar" w:customStyle="1">
    <w:name w:val="z-Top of Form Char"/>
    <w:basedOn w:val="DefaultParagraphFont"/>
    <w:link w:val="HTMLTopofForm"/>
    <w:uiPriority w:val="99"/>
    <w:semiHidden/>
    <w:qFormat/>
    <w:rsid w:val="00db25a4"/>
    <w:rPr>
      <w:rFonts w:ascii="Arial" w:hAnsi="Arial" w:eastAsia="Times New Roman" w:cs="Arial"/>
      <w:vanish/>
      <w:sz w:val="16"/>
      <w:szCs w:val="16"/>
      <w:lang w:eastAsia="en-GB"/>
    </w:rPr>
  </w:style>
  <w:style w:type="character" w:styleId="z-BottomofFormChar" w:customStyle="1">
    <w:name w:val="z-Bottom of Form Char"/>
    <w:basedOn w:val="DefaultParagraphFont"/>
    <w:link w:val="HTMLBottomofForm"/>
    <w:uiPriority w:val="99"/>
    <w:semiHidden/>
    <w:qFormat/>
    <w:rsid w:val="00db25a4"/>
    <w:rPr>
      <w:rFonts w:ascii="Arial" w:hAnsi="Arial" w:eastAsia="Times New Roman" w:cs="Arial"/>
      <w:vanish/>
      <w:sz w:val="16"/>
      <w:szCs w:val="16"/>
      <w:lang w:eastAsia="en-GB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db5"/>
    <w:pPr>
      <w:spacing w:lineRule="auto" w:line="240"/>
    </w:pPr>
    <w:rPr>
      <w:b/>
      <w:bCs/>
      <w:smallCaps/>
      <w:color w:themeColor="text2" w:val="0E2841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AnnotationText">
    <w:name w:val="Annotation Text"/>
    <w:basedOn w:val="Normal"/>
    <w:link w:val="CommentTextChar"/>
    <w:uiPriority w:val="99"/>
    <w:unhideWhenUsed/>
    <w:pPr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33db5"/>
    <w:pPr>
      <w:spacing w:lineRule="auto" w:line="204" w:before="0" w:after="0"/>
      <w:contextualSpacing/>
    </w:pPr>
    <w:rPr>
      <w:rFonts w:ascii="Aptos Display" w:hAnsi="Aptos Display" w:eastAsia="" w:cs="Times New Roman" w:asciiTheme="majorHAnsi" w:cstheme="majorBidi" w:eastAsiaTheme="majorEastAsia" w:hAnsiTheme="majorHAnsi"/>
      <w:caps/>
      <w:color w:themeColor="text2" w:val="0E2841"/>
      <w:spacing w:val="-15"/>
      <w:sz w:val="72"/>
      <w:szCs w:val="72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8d1f77"/>
    <w:pPr/>
    <w:rPr>
      <w:b/>
      <w:bCs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33db5"/>
    <w:p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9320b1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9320b1"/>
    <w:pPr>
      <w:spacing w:before="0" w:after="100"/>
      <w:ind w:left="180"/>
    </w:pPr>
    <w:rPr/>
  </w:style>
  <w:style w:type="paragraph" w:styleId="TOC3">
    <w:name w:val="TOC 3"/>
    <w:basedOn w:val="Normal"/>
    <w:next w:val="Normal"/>
    <w:autoRedefine/>
    <w:uiPriority w:val="39"/>
    <w:unhideWhenUsed/>
    <w:rsid w:val="009320b1"/>
    <w:pPr>
      <w:spacing w:before="0" w:after="100"/>
      <w:ind w:left="360"/>
    </w:pPr>
    <w:rPr/>
  </w:style>
  <w:style w:type="paragraph" w:styleId="NormalWeb">
    <w:name w:val="Normal (Web)"/>
    <w:basedOn w:val="Normal"/>
    <w:uiPriority w:val="99"/>
    <w:semiHidden/>
    <w:unhideWhenUsed/>
    <w:qFormat/>
    <w:rsid w:val="008b1ec8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db5"/>
    <w:pPr>
      <w:spacing w:lineRule="auto" w:line="240" w:before="0" w:after="240"/>
    </w:pPr>
    <w:rPr>
      <w:rFonts w:ascii="Aptos Display" w:hAnsi="Aptos Display" w:eastAsia="" w:cs="Times New Roman" w:asciiTheme="majorHAnsi" w:cstheme="majorBidi" w:eastAsiaTheme="majorEastAsia" w:hAnsiTheme="majorHAnsi"/>
      <w:color w:themeColor="accent1" w:val="156082"/>
      <w:sz w:val="28"/>
      <w:szCs w:val="28"/>
    </w:rPr>
  </w:style>
  <w:style w:type="paragraph" w:styleId="NoSpacing">
    <w:name w:val="No Spacing"/>
    <w:uiPriority w:val="1"/>
    <w:qFormat/>
    <w:rsid w:val="00f33db5"/>
    <w:pPr>
      <w:widowControl/>
      <w:bidi w:val="0"/>
      <w:spacing w:lineRule="auto" w:line="240" w:before="0" w:after="0"/>
      <w:jc w:val="left"/>
    </w:pPr>
    <w:rPr>
      <w:rFonts w:ascii="Aptos" w:hAnsi="Aptos" w:eastAsia="" w:cs="Arial" w:asciiTheme="minorHAnsi" w:cstheme="minorBidi" w:eastAsiaTheme="minorEastAsia" w:hAnsiTheme="minorHAnsi"/>
      <w:color w:val="auto"/>
      <w:kern w:val="0"/>
      <w:sz w:val="22"/>
      <w:szCs w:val="22"/>
      <w:lang w:val="en-GB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33db5"/>
    <w:pPr>
      <w:spacing w:before="120" w:after="120"/>
      <w:ind w:left="720"/>
    </w:pPr>
    <w:rPr>
      <w:color w:themeColor="text2" w:val="0E284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db5"/>
    <w:pPr>
      <w:spacing w:lineRule="auto" w:line="240" w:beforeAutospacing="1" w:after="240"/>
      <w:ind w:left="720"/>
      <w:jc w:val="center"/>
    </w:pPr>
    <w:rPr>
      <w:rFonts w:ascii="Aptos Display" w:hAnsi="Aptos Display" w:eastAsia="" w:cs="Times New Roman" w:asciiTheme="majorHAnsi" w:cstheme="majorBidi" w:eastAsiaTheme="majorEastAsia" w:hAnsiTheme="majorHAnsi"/>
      <w:color w:themeColor="text2" w:val="0E2841"/>
      <w:spacing w:val="-6"/>
      <w:sz w:val="32"/>
      <w:szCs w:val="32"/>
    </w:rPr>
  </w:style>
  <w:style w:type="paragraph" w:styleId="HTMLTopofForm">
    <w:name w:val="HTML Top of Form"/>
    <w:basedOn w:val="Normal"/>
    <w:next w:val="Normal"/>
    <w:link w:val="z-TopofFormChar"/>
    <w:uiPriority w:val="99"/>
    <w:semiHidden/>
    <w:unhideWhenUsed/>
    <w:qFormat/>
    <w:rsid w:val="00db25a4"/>
    <w:pPr>
      <w:pBdr>
        <w:bottom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  <w:lang w:eastAsia="en-GB"/>
    </w:rPr>
  </w:style>
  <w:style w:type="paragraph" w:styleId="HTMLBottomofForm">
    <w:name w:val="HTML Bottom of Form"/>
    <w:basedOn w:val="Normal"/>
    <w:next w:val="Normal"/>
    <w:link w:val="z-BottomofFormChar"/>
    <w:uiPriority w:val="99"/>
    <w:semiHidden/>
    <w:unhideWhenUsed/>
    <w:qFormat/>
    <w:rsid w:val="00db25a4"/>
    <w:pPr>
      <w:pBdr>
        <w:top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  <w:lang w:eastAsia="en-GB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5Dark-Accent2">
    <w:name w:val="Grid Table 5 Dark Accent 2"/>
    <w:basedOn w:val="TableNormal"/>
    <w:uiPriority w:val="50"/>
    <w:rsid w:val="00e1414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1414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eGridLight">
    <w:name w:val="Grid Table Light"/>
    <w:basedOn w:val="TableNormal"/>
    <w:uiPriority w:val="40"/>
    <w:rsid w:val="00e14142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GridTable4-Accent4">
    <w:name w:val="Grid Table 4 Accent 4"/>
    <w:basedOn w:val="TableNormal"/>
    <w:uiPriority w:val="49"/>
    <w:rsid w:val="002e2e79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db25a4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9CAE0-F10D-4D48-97DF-99D52B624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4</Pages>
  <Words>522</Words>
  <Characters>3455</Characters>
  <CharactersWithSpaces>3882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2024-06-10T19:31:00Z</dcterms:created>
  <dc:creator/>
  <dc:description/>
  <dc:language>en-US</dc:language>
  <cp:lastModifiedBy/>
  <dcterms:modified xsi:type="dcterms:W3CDTF">2026-09-13T02:25:13Z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12f353d17cbc3ad1452917a37281420d90aa3f711ae567a448ea458f5cee1541</vt:lpwstr>
  </property>
</Properties>
</file>