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200" w:before="0"/>
        <w:jc w:val="center"/>
      </w:pPr>
      <w:r>
        <w:rPr>
          <w:rFonts w:ascii="Arial" w:cs="Arial" w:eastAsia="Arial" w:hAnsi="Arial"/>
          <w:b/>
          <w:bCs/>
          <w:color w:val="1F4E79"/>
          <w:sz w:val="52"/>
          <w:szCs w:val="52"/>
        </w:rPr>
        <w:t xml:space="preserve">AINS HACKATHON 2026</w:t>
      </w:r>
    </w:p>
    <w:p>
      <w:pPr>
        <w:spacing w:after="120" w:before="0"/>
        <w:jc w:val="center"/>
      </w:pPr>
      <w:r>
        <w:rPr>
          <w:rFonts w:ascii="Arial" w:cs="Arial" w:eastAsia="Arial" w:hAnsi="Arial"/>
          <w:color w:val="2E75B6"/>
          <w:sz w:val="36"/>
          <w:szCs w:val="36"/>
        </w:rPr>
        <w:t xml:space="preserve">AI for Entrepreneurship</w:t>
      </w:r>
    </w:p>
    <w:p>
      <w:pPr>
        <w:spacing w:after="400" w:before="0"/>
        <w:jc w:val="center"/>
      </w:pPr>
      <w:r>
        <w:rPr>
          <w:rFonts w:ascii="Arial" w:cs="Arial" w:eastAsia="Arial" w:hAnsi="Arial"/>
          <w:b/>
          <w:bCs/>
          <w:color w:val="595959"/>
          <w:sz w:val="30"/>
          <w:szCs w:val="30"/>
        </w:rPr>
        <w:t xml:space="preserve">Feature 2 — Scoring Methodology Document</w:t>
      </w:r>
    </w:p>
    <w:p>
      <w:pPr>
        <w:spacing w:after="80" w:before="0"/>
        <w:jc w:val="center"/>
      </w:pPr>
      <w:r>
        <w:rPr>
          <w:rFonts w:ascii="Arial" w:cs="Arial" w:eastAsia="Arial" w:hAnsi="Arial"/>
          <w:color w:val="595959"/>
          <w:sz w:val="24"/>
          <w:szCs w:val="24"/>
        </w:rPr>
        <w:t xml:space="preserve">Explainable Multi-Dimensional Scoring — Moteur d’Évaluation Entrepreneuriale</w:t>
      </w:r>
    </w:p>
    <w:p>
      <w:pPr>
        <w:spacing w:after="60" w:before="60"/>
      </w:pPr>
      <w:r>
        <w:t xml:space="preserve"/>
      </w:r>
    </w:p>
    <w:p>
      <w:pPr>
        <w:spacing w:after="60" w:before="60"/>
      </w:pPr>
      <w:r>
        <w:t xml:space="preserve"/>
      </w:r>
    </w:p>
    <w:p>
      <w:pPr>
        <w:spacing w:after="80" w:before="0"/>
        <w:jc w:val="center"/>
      </w:pPr>
      <w:r>
        <w:rPr>
          <w:rFonts w:ascii="Arial" w:cs="Arial" w:eastAsia="Arial" w:hAnsi="Arial"/>
          <w:color w:val="595959"/>
          <w:sz w:val="20"/>
          <w:szCs w:val="20"/>
        </w:rPr>
        <w:t xml:space="preserve">Organisé par : PNUD · GEWEET · ODC · IEEE SECTION · APII · AINS 4.0</w:t>
      </w:r>
    </w:p>
    <w:p>
      <w:pPr>
        <w:spacing w:after="60" w:before="60"/>
        <w:jc w:val="center"/>
      </w:pPr>
      <w:r>
        <w:rPr>
          <w:rFonts w:ascii="Arial" w:cs="Arial" w:eastAsia="Arial" w:hAnsi="Arial"/>
          <w:color w:val="595959"/>
          <w:sz w:val="20"/>
          <w:szCs w:val="20"/>
        </w:rPr>
        <w:t xml:space="preserve">Version 2.0 — Juin 2026</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1. Contexte et Mission</w:t>
      </w:r>
    </w:p>
    <w:p>
      <w:pPr>
        <w:spacing w:after="80" w:before="80"/>
        <w:jc w:val="both"/>
      </w:pPr>
      <w:r>
        <w:rPr>
          <w:rFonts w:ascii="Arial" w:cs="Arial" w:eastAsia="Arial" w:hAnsi="Arial"/>
          <w:b w:val="false"/>
          <w:bCs w:val="false"/>
          <w:color w:val="000000"/>
          <w:sz w:val="22"/>
          <w:szCs w:val="22"/>
        </w:rPr>
        <w:t xml:space="preserve">La Feature 2 du projet « Intelligent Entrepreneurial Orientation Engine » répond à un problème structurel documenté : les outils d’orientation entrepreneuriale existants en Tunisie produisent des sorties génériques, non tracées, et incapables de raisonner simultanément sur plusieurs dimensions incommensurables. Conformément au cahier des charges (§2.4), le système évalue chaque projet sur cinq scores composites explicites — Market, Commercial Offer, Innovation, Scalability, Green — et produit un Financing Readiness Index (FRI) entièrement traçable.</w:t>
      </w:r>
    </w:p>
    <w:p>
      <w:pPr>
        <w:spacing w:after="80" w:before="80"/>
        <w:jc w:val="both"/>
      </w:pPr>
      <w:r>
        <w:rPr>
          <w:rFonts w:ascii="Arial" w:cs="Arial" w:eastAsia="Arial" w:hAnsi="Arial"/>
          <w:b w:val="false"/>
          <w:bCs w:val="false"/>
          <w:color w:val="000000"/>
          <w:sz w:val="22"/>
          <w:szCs w:val="22"/>
        </w:rPr>
        <w:t xml:space="preserve">Le scoring n’est pas un outil de classement. C’est un outil de diagnostic financier : il détecte les contradictions internes du profil, identifie les dimensions bloquantes, et oriente vers des actions concrètes. Chaque chiffre produit doit pouvoir être justifié devant un jury, un entrepreneur, ou un partenaire financier.</w:t>
      </w:r>
    </w:p>
    <w:p>
      <w:pPr>
        <w:pStyle w:val="Heading2"/>
        <w:spacing w:after="140" w:before="300"/>
      </w:pPr>
      <w:r>
        <w:rPr>
          <w:rFonts w:ascii="Arial" w:cs="Arial" w:eastAsia="Arial" w:hAnsi="Arial"/>
          <w:b/>
          <w:bCs/>
          <w:color w:val="2E75B6"/>
          <w:sz w:val="28"/>
          <w:szCs w:val="28"/>
        </w:rPr>
        <w:t xml:space="preserve">1.1 Problème documenté</w:t>
      </w:r>
    </w:p>
    <w:p>
      <w:pPr>
        <w:spacing w:after="80" w:before="80"/>
        <w:jc w:val="both"/>
      </w:pPr>
      <w:r>
        <w:rPr>
          <w:rFonts w:ascii="Arial" w:cs="Arial" w:eastAsia="Arial" w:hAnsi="Arial"/>
          <w:b w:val="false"/>
          <w:bCs w:val="false"/>
          <w:color w:val="000000"/>
          <w:sz w:val="22"/>
          <w:szCs w:val="22"/>
        </w:rPr>
        <w:t xml:space="preserve">Selon l’Enquête World Bank Enterprise Survey 2024 Tunisie, l’accès au financement constitue le principal obstacle déclaré par les PME tunisiennes. Les entrepreneurs surestiment systématiquement la maturité de leurs projets — gap perception-réalité documenté en Feature 1 — ce qui les envoie vers des guichets de financement pour lesquels ils ne sont pas éligibles.</w:t>
      </w:r>
    </w:p>
    <w:p>
      <w:pPr>
        <w:spacing w:after="80" w:before="80"/>
        <w:jc w:val="both"/>
      </w:pPr>
      <w:r>
        <w:rPr>
          <w:rFonts w:ascii="Arial" w:cs="Arial" w:eastAsia="Arial" w:hAnsi="Arial"/>
          <w:b w:val="false"/>
          <w:bCs w:val="false"/>
          <w:color w:val="000000"/>
          <w:sz w:val="22"/>
          <w:szCs w:val="22"/>
        </w:rPr>
        <w:t xml:space="preserve">Stiglitz &amp; Weiss (1981) ont formalisé ce mécanisme sous le nom de « credit rationing in markets with imperfect information » : en l’absence d’information fiable sur la qualité du projet, les institutions financières rationnent le crédit plutôt que d’ajuster le taux d’intérêt. Notre moteur de scoring constitue précisément un mécanisme de réduction de cette asymétrie d’information.</w:t>
      </w:r>
    </w:p>
    <w:p>
      <w:pPr>
        <w:pStyle w:val="Heading2"/>
        <w:spacing w:after="140" w:before="300"/>
      </w:pPr>
      <w:r>
        <w:rPr>
          <w:rFonts w:ascii="Arial" w:cs="Arial" w:eastAsia="Arial" w:hAnsi="Arial"/>
          <w:b/>
          <w:bCs/>
          <w:color w:val="2E75B6"/>
          <w:sz w:val="28"/>
          <w:szCs w:val="28"/>
        </w:rPr>
        <w:t xml:space="preserve">1.2 Références utilisées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c>
          <w:tcPr>
            <w:tcW w:type="dxa" w:w="3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Document</w:t>
            </w:r>
          </w:p>
        </w:tc>
        <w:tc>
          <w:tcPr>
            <w:tcW w:type="dxa" w:w="5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Usage dans le scoring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Stiglitz &amp; Weiss (1981), Credit Rationing in Markets with Imperfect Information, AER Vol.71</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Fondement théorique de la pénalité exponentielle et du hard-cap FRI.</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Loi n°2018-20 du 17 avril 2018 — Startup Act Tunisie</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Art. 3 (critères label), Art. 12 (brevet), Art. 17 (compte devises), Art. 19 (exonérations).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World Bank Enterprise Survey 2024 Tunisie</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Calibration des seuils sectoriels et validation de la pertinence des dimensions Market et Green.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Saaty (1980), The Analytic Hierarchy Process</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Méthodologie AHP : vecteur propre principal, Consistency Ratio (CR &lt; 0,10).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AINS Hackathon 2026 — Technical Specification §2.4</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Définition des 5 scores obligatoires, des sous-dimensions et des règles d’explainability.</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2. Architecture du Pipeline de Scoring</w:t>
      </w:r>
    </w:p>
    <w:p>
      <w:pPr>
        <w:pStyle w:val="Heading2"/>
        <w:spacing w:after="140" w:before="300"/>
      </w:pPr>
      <w:r>
        <w:rPr>
          <w:rFonts w:ascii="Arial" w:cs="Arial" w:eastAsia="Arial" w:hAnsi="Arial"/>
          <w:b/>
          <w:bCs/>
          <w:color w:val="2E75B6"/>
          <w:sz w:val="28"/>
          <w:szCs w:val="28"/>
        </w:rPr>
        <w:t xml:space="preserve">2.1 Vue d’ensemble</w:t>
      </w:r>
    </w:p>
    <w:p>
      <w:pPr>
        <w:spacing w:after="80" w:before="80"/>
        <w:jc w:val="both"/>
      </w:pPr>
      <w:r>
        <w:rPr>
          <w:rFonts w:ascii="Arial" w:cs="Arial" w:eastAsia="Arial" w:hAnsi="Arial"/>
          <w:b w:val="false"/>
          <w:bCs w:val="false"/>
          <w:color w:val="000000"/>
          <w:sz w:val="22"/>
          <w:szCs w:val="22"/>
        </w:rPr>
        <w:t xml:space="preserve">Le pipeline est organisé en quatre phases séquentielles et déterministes. Chaque phase produit une sortie documentée qui sert d’entrée à la suivante.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200"/>
      </w:tblGrid>
      <w:tr>
        <w:tc>
          <w:tcPr>
            <w:tcW w:type="dxa" w:w="1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2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Module</w:t>
            </w:r>
          </w:p>
        </w:tc>
        <w:tc>
          <w:tcPr>
            <w:tcW w:type="dxa" w:w="5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Transformation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extract_sub_scores.py</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Réponses questionnaire F2 (index 0-4) → 20 sous-scores numériques {MS1…GS4} via échelle [10,40,60,75,90]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2E75B6"/>
                <w:sz w:val="19"/>
                <w:szCs w:val="19"/>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extract_anomalies + extract_blockers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Profil_complet + reponses_f2 → anomalies Phase 1 (Feature 1) + blockers contextuels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3</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calcul_scores.py</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AHP pondéré + ajustements sectoriels → 5 scores composites + détection anomalies F2 + pénalités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2E75B6"/>
                <w:sz w:val="19"/>
                <w:szCs w:val="19"/>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_compute_fri() + hard-cap</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Agrégation AHP globale → pénalité exponentielle blockers → hard-cap → FRI ∈ [0,100] + is_financeable</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2.2 Échelle de conversion des réponses</w:t>
      </w:r>
    </w:p>
    <w:p>
      <w:pPr>
        <w:spacing w:after="80" w:before="80"/>
        <w:jc w:val="both"/>
      </w:pPr>
      <w:r>
        <w:rPr>
          <w:rFonts w:ascii="Arial" w:cs="Arial" w:eastAsia="Arial" w:hAnsi="Arial"/>
          <w:b w:val="false"/>
          <w:bCs w:val="false"/>
          <w:color w:val="000000"/>
          <w:sz w:val="22"/>
          <w:szCs w:val="22"/>
        </w:rPr>
        <w:t xml:space="preserve">Le questionnaire F2 utilise cinq niveaux ordonnaux (index 0 à 4). La conversion utilise une échelle non-linéaire asymétrique : les écarts sont plus forts en bas de l’échelle pour pénaliser les profils faibles, conformément à la logique de rationnement de crédit.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3200"/>
      </w:tblGrid>
      <w:tr>
        <w:tc>
          <w:tcPr>
            <w:tcW w:type="dxa" w:w="1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Index</w:t>
            </w:r>
          </w:p>
        </w:tc>
        <w:tc>
          <w:tcPr>
            <w:tcW w:type="dxa" w:w="1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0</w:t>
            </w:r>
          </w:p>
        </w:tc>
        <w:tc>
          <w:tcPr>
            <w:tcW w:type="dxa" w:w="1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w:t>
            </w:r>
          </w:p>
        </w:tc>
        <w:tc>
          <w:tcPr>
            <w:tcW w:type="dxa" w:w="1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2</w:t>
            </w:r>
          </w:p>
        </w:tc>
        <w:tc>
          <w:tcPr>
            <w:tcW w:type="dxa" w:w="1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3</w:t>
            </w:r>
          </w:p>
        </w:tc>
        <w:tc>
          <w:tcPr>
            <w:tcW w:type="dxa" w:w="3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4</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Score</w:t>
            </w:r>
          </w:p>
        </w:tc>
        <w:tc>
          <w:tcPr>
            <w:tcW w:type="dxa" w:w="12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10</w:t>
            </w:r>
          </w:p>
        </w:tc>
        <w:tc>
          <w:tcPr>
            <w:tcW w:type="dxa" w:w="12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40</w:t>
            </w:r>
          </w:p>
        </w:tc>
        <w:tc>
          <w:tcPr>
            <w:tcW w:type="dxa" w:w="1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7F6000"/>
                <w:sz w:val="19"/>
                <w:szCs w:val="19"/>
              </w:rPr>
              <w:t xml:space="preserve">60</w:t>
            </w:r>
          </w:p>
        </w:tc>
        <w:tc>
          <w:tcPr>
            <w:tcW w:type="dxa" w:w="12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75</w:t>
            </w:r>
          </w:p>
        </w:tc>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90</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Niveau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Faible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Modéré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Excellent</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3. Méthode AHP — Matrices de Comparaison</w:t>
      </w:r>
    </w:p>
    <w:p>
      <w:pPr>
        <w:pStyle w:val="Heading2"/>
        <w:spacing w:after="140" w:before="300"/>
      </w:pPr>
      <w:r>
        <w:rPr>
          <w:rFonts w:ascii="Arial" w:cs="Arial" w:eastAsia="Arial" w:hAnsi="Arial"/>
          <w:b/>
          <w:bCs/>
          <w:color w:val="2E75B6"/>
          <w:sz w:val="28"/>
          <w:szCs w:val="28"/>
        </w:rPr>
        <w:t xml:space="preserve">3.1 Pourquoi AHP et non une moyenne simple ?</w:t>
      </w:r>
    </w:p>
    <w:p>
      <w:pPr>
        <w:spacing w:after="80" w:before="80"/>
        <w:jc w:val="both"/>
      </w:pPr>
      <w:r>
        <w:rPr>
          <w:rFonts w:ascii="Arial" w:cs="Arial" w:eastAsia="Arial" w:hAnsi="Arial"/>
          <w:b w:val="false"/>
          <w:bCs w:val="false"/>
          <w:color w:val="000000"/>
          <w:sz w:val="22"/>
          <w:szCs w:val="22"/>
        </w:rPr>
        <w:t xml:space="preserve">Le spec exige que « composite scores are not averages » et que « a weak score on a fundamental dimension should not be masked by strong scores elsewhere ». La méthode AHP (Saaty 1980) permet de définir une hiérarchie explicite entre critères via des comparaisons par paires, et garantit la cohérence mathématique des poids via le Consistency Ratio (CR &lt; 0,10 requis).</w:t>
      </w:r>
    </w:p>
    <w:p>
      <w:pPr>
        <w:spacing w:after="80" w:before="80"/>
        <w:jc w:val="both"/>
      </w:pPr>
      <w:r>
        <w:rPr>
          <w:rFonts w:ascii="Arial" w:cs="Arial" w:eastAsia="Arial" w:hAnsi="Arial"/>
          <w:b w:val="false"/>
          <w:bCs w:val="false"/>
          <w:color w:val="000000"/>
          <w:sz w:val="22"/>
          <w:szCs w:val="22"/>
        </w:rPr>
        <w:t xml:space="preserve">L’échelle de Saaty utilisée : 1 = importance égale, 3 = légèrement plus important, 5 = nettement plus important, 7 = très nettement plus important, 9 = absolument plus important. Les valeurs réciproques (1/3, 1/5…) indiquent la relation inverse.</w:t>
      </w:r>
    </w:p>
    <w:p>
      <w:pPr>
        <w:pStyle w:val="Heading2"/>
        <w:spacing w:after="140" w:before="300"/>
      </w:pPr>
      <w:r>
        <w:rPr>
          <w:rFonts w:ascii="Arial" w:cs="Arial" w:eastAsia="Arial" w:hAnsi="Arial"/>
          <w:b/>
          <w:bCs/>
          <w:color w:val="2E75B6"/>
          <w:sz w:val="28"/>
          <w:szCs w:val="28"/>
        </w:rPr>
        <w:t xml:space="preserve">3.2 Matrice AHP — Market Score (CR = 0,0169)</w:t>
      </w:r>
    </w:p>
    <w:p>
      <w:pPr>
        <w:spacing w:after="80" w:before="80"/>
        <w:jc w:val="both"/>
      </w:pPr>
      <w:r>
        <w:rPr>
          <w:rFonts w:ascii="Arial" w:cs="Arial" w:eastAsia="Arial" w:hAnsi="Arial"/>
          <w:b w:val="false"/>
          <w:bCs w:val="false"/>
          <w:color w:val="000000"/>
          <w:sz w:val="22"/>
          <w:szCs w:val="22"/>
        </w:rPr>
        <w:t xml:space="preserve">MS1 = Taille marché adressable (TAM) · MS2 = Intensité concurrentielle · MS3 = Validation client / traction · MS4 = Clarté modèle de revenus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Critère</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MS1</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MS2</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MS3</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MS4</w:t>
            </w:r>
          </w:p>
        </w:tc>
      </w:tr>
      <w:tr>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F4E79"/>
                <w:sz w:val="19"/>
                <w:szCs w:val="19"/>
              </w:rPr>
              <w:t xml:space="preserve">MS1</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1/4</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1/3</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F4E79"/>
                <w:sz w:val="19"/>
                <w:szCs w:val="19"/>
              </w:rPr>
              <w:t xml:space="preserve">MS2</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4</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3</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r>
      <w:tr>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F4E79"/>
                <w:sz w:val="19"/>
                <w:szCs w:val="19"/>
              </w:rPr>
              <w:t xml:space="preserve">MS3</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1/3</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F4E79"/>
                <w:sz w:val="19"/>
                <w:szCs w:val="19"/>
              </w:rPr>
              <w:t xml:space="preserve">MS4</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3</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200"/>
      </w:tblGrid>
      <w:tr>
        <w:tc>
          <w:tcPr>
            <w:tcW w:type="dxa" w:w="3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Sous-score</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Code</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Poids AHP</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Poids %</w:t>
            </w:r>
          </w:p>
        </w:tc>
        <w:tc>
          <w:tcPr>
            <w:tcW w:type="dxa" w:w="1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Taille marché adressable (TAM)</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MS1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0.1205</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12,1%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Intensité concurrentielle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MS2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0.4542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45,4%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Validation client / traction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MS3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0.1826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18,3%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Clarté du modèle de revenus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MS4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0.2427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0.0169</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3.3 Matrice AHP — Commercial Offer Score (CR = 0,0113)</w:t>
      </w:r>
    </w:p>
    <w:p>
      <w:pPr>
        <w:spacing w:after="80" w:before="80"/>
        <w:jc w:val="both"/>
      </w:pPr>
      <w:r>
        <w:rPr>
          <w:rFonts w:ascii="Arial" w:cs="Arial" w:eastAsia="Arial" w:hAnsi="Arial"/>
          <w:b w:val="false"/>
          <w:bCs w:val="false"/>
          <w:color w:val="000000"/>
          <w:sz w:val="22"/>
          <w:szCs w:val="22"/>
        </w:rPr>
        <w:t xml:space="preserve">CO1 = Clarté proposition de valeur · CO2 = Maturité produit · CO3 = Cohérence stratégie prix · CO4 = Alignement besoins clients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Critère</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CO1</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CO2</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CO3</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CO4</w:t>
            </w:r>
          </w:p>
        </w:tc>
      </w:tr>
      <w:tr>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F4E79"/>
                <w:sz w:val="19"/>
                <w:szCs w:val="19"/>
              </w:rPr>
              <w:t xml:space="preserve">CO1</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3</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F4E79"/>
                <w:sz w:val="19"/>
                <w:szCs w:val="19"/>
              </w:rPr>
              <w:t xml:space="preserve">CO2</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1/3</w:t>
            </w:r>
          </w:p>
        </w:tc>
      </w:tr>
      <w:tr>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F4E79"/>
                <w:sz w:val="19"/>
                <w:szCs w:val="19"/>
              </w:rPr>
              <w:t xml:space="preserve">CO3</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1/3</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1/5</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F4E79"/>
                <w:sz w:val="19"/>
                <w:szCs w:val="19"/>
              </w:rPr>
              <w:t xml:space="preserve">CO4</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3</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5</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200"/>
      </w:tblGrid>
      <w:tr>
        <w:tc>
          <w:tcPr>
            <w:tcW w:type="dxa" w:w="3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Sous-score</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Code</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Poids AHP</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Poids %</w:t>
            </w:r>
          </w:p>
        </w:tc>
        <w:tc>
          <w:tcPr>
            <w:tcW w:type="dxa" w:w="1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Clarté proposition de valeur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CO1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0.2772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27,7%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Maturité produit /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CO2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0.1610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16,1%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Cohérence stratégie prix</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CO3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0.0960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Alignement besoins clients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CO4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0.4658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46,6%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0.0113</w:t>
            </w:r>
          </w:p>
        </w:tc>
      </w:tr>
    </w:tbl>
    <w:p>
      <w:r>
        <w:br w:type="page"/>
      </w:r>
    </w:p>
    <w:p>
      <w:pPr>
        <w:pStyle w:val="Heading2"/>
        <w:spacing w:after="140" w:before="300"/>
      </w:pPr>
      <w:r>
        <w:rPr>
          <w:rFonts w:ascii="Arial" w:cs="Arial" w:eastAsia="Arial" w:hAnsi="Arial"/>
          <w:b/>
          <w:bCs/>
          <w:color w:val="2E75B6"/>
          <w:sz w:val="28"/>
          <w:szCs w:val="28"/>
        </w:rPr>
        <w:t xml:space="preserve">3.4 Matrice AHP — Innovation Score (CR = 0,0037)</w:t>
      </w:r>
    </w:p>
    <w:p>
      <w:pPr>
        <w:spacing w:after="80" w:before="80"/>
        <w:jc w:val="both"/>
      </w:pPr>
      <w:r>
        <w:rPr>
          <w:rFonts w:ascii="Arial" w:cs="Arial" w:eastAsia="Arial" w:hAnsi="Arial"/>
          <w:b w:val="false"/>
          <w:bCs w:val="false"/>
          <w:color w:val="000000"/>
          <w:sz w:val="22"/>
          <w:szCs w:val="22"/>
        </w:rPr>
        <w:t xml:space="preserve">IN1 = Nouveauté locale / différenciation · IN2 = Intensité technologique · IN3 = Barrières à l’entrée · IN4 = Degré de rupture marché</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Critère</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IN1</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IN2</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IN3</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IN4</w:t>
            </w:r>
          </w:p>
        </w:tc>
      </w:tr>
      <w:tr>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F4E79"/>
                <w:sz w:val="19"/>
                <w:szCs w:val="19"/>
              </w:rPr>
              <w:t xml:space="preserve">IN1</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4</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F4E79"/>
                <w:sz w:val="19"/>
                <w:szCs w:val="19"/>
              </w:rPr>
              <w:t xml:space="preserve">IN2</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F4E79"/>
                <w:sz w:val="19"/>
                <w:szCs w:val="19"/>
              </w:rPr>
              <w:t xml:space="preserve">1</w:t>
            </w:r>
          </w:p>
        </w:tc>
      </w:tr>
      <w:tr>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F4E79"/>
                <w:sz w:val="19"/>
                <w:szCs w:val="19"/>
              </w:rPr>
              <w:t xml:space="preserve">IN3</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1/4</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F4E79"/>
                <w:sz w:val="19"/>
                <w:szCs w:val="19"/>
              </w:rPr>
              <w:t xml:space="preserve">IN4</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F4E79"/>
                <w:sz w:val="19"/>
                <w:szCs w:val="19"/>
              </w:rPr>
              <w:t xml:space="preserve">1</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200"/>
      </w:tblGrid>
      <w:tr>
        <w:tc>
          <w:tcPr>
            <w:tcW w:type="dxa" w:w="3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Sous-score</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Code</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Poids AHP</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Poids %</w:t>
            </w:r>
          </w:p>
        </w:tc>
        <w:tc>
          <w:tcPr>
            <w:tcW w:type="dxa" w:w="1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Nouveauté locale / différenciation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IN1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0.4231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42,3%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Intensité technologique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IN2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0.2272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Barrières à l’entrée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IN3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0.1225</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12,2%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Degré de rupture marché</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IN4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0.2272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0.0037</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3.5 Matrice AHP — Scalability Score (CR = 0,0113)</w:t>
      </w:r>
    </w:p>
    <w:p>
      <w:pPr>
        <w:spacing w:after="80" w:before="80"/>
        <w:jc w:val="both"/>
      </w:pPr>
      <w:r>
        <w:rPr>
          <w:rFonts w:ascii="Arial" w:cs="Arial" w:eastAsia="Arial" w:hAnsi="Arial"/>
          <w:b w:val="false"/>
          <w:bCs w:val="false"/>
          <w:color w:val="000000"/>
          <w:sz w:val="22"/>
          <w:szCs w:val="22"/>
        </w:rPr>
        <w:t xml:space="preserve">SC1 = Réplicabilité sans coût linéaire · SC2 = Indépendance au modèle manuel · SC3 = Structure des coûts de déploiement · SC4 = Potentiel géographique adressable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Critère</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SC1</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SC2</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SC3</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SC4</w:t>
            </w:r>
          </w:p>
        </w:tc>
      </w:tr>
      <w:tr>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F4E79"/>
                <w:sz w:val="19"/>
                <w:szCs w:val="19"/>
              </w:rPr>
              <w:t xml:space="preserve">SC1</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4</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4</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F4E79"/>
                <w:sz w:val="19"/>
                <w:szCs w:val="19"/>
              </w:rPr>
              <w:t xml:space="preserve">SC2</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3</w:t>
            </w:r>
          </w:p>
        </w:tc>
      </w:tr>
      <w:tr>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F4E79"/>
                <w:sz w:val="19"/>
                <w:szCs w:val="19"/>
              </w:rPr>
              <w:t xml:space="preserve">SC3</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1/4</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F4E79"/>
                <w:sz w:val="19"/>
                <w:szCs w:val="19"/>
              </w:rPr>
              <w:t xml:space="preserve">1</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F4E79"/>
                <w:sz w:val="19"/>
                <w:szCs w:val="19"/>
              </w:rPr>
              <w:t xml:space="preserve">SC4</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1/4</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1/3</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F4E79"/>
                <w:sz w:val="19"/>
                <w:szCs w:val="19"/>
              </w:rPr>
              <w:t xml:space="preserve">1</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200"/>
      </w:tblGrid>
      <w:tr>
        <w:tc>
          <w:tcPr>
            <w:tcW w:type="dxa" w:w="3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Sous-score</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Code</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Poids AHP</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Poids %</w:t>
            </w:r>
          </w:p>
        </w:tc>
        <w:tc>
          <w:tcPr>
            <w:tcW w:type="dxa" w:w="1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Réplicabilité sans coût linéaire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SC1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0.4687</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46,9%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Indépendance au modèle manuel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SC2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0.2800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Structure des coûts de déploiement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SC3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0.1361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13,6%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Potentiel géographique adressable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SC4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0.1152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0.0113</w:t>
            </w:r>
          </w:p>
        </w:tc>
      </w:tr>
    </w:tbl>
    <w:p>
      <w:r>
        <w:br w:type="page"/>
      </w:r>
    </w:p>
    <w:p>
      <w:pPr>
        <w:pStyle w:val="Heading2"/>
        <w:spacing w:after="140" w:before="300"/>
      </w:pPr>
      <w:r>
        <w:rPr>
          <w:rFonts w:ascii="Arial" w:cs="Arial" w:eastAsia="Arial" w:hAnsi="Arial"/>
          <w:b/>
          <w:bCs/>
          <w:color w:val="2E75B6"/>
          <w:sz w:val="28"/>
          <w:szCs w:val="28"/>
        </w:rPr>
        <w:t xml:space="preserve">3.6 Matrice AHP — Green Score (CR = 0,0113)</w:t>
      </w:r>
    </w:p>
    <w:p>
      <w:pPr>
        <w:spacing w:after="80" w:before="80"/>
        <w:jc w:val="both"/>
      </w:pPr>
      <w:r>
        <w:rPr>
          <w:rFonts w:ascii="Arial" w:cs="Arial" w:eastAsia="Arial" w:hAnsi="Arial"/>
          <w:b w:val="false"/>
          <w:bCs w:val="false"/>
          <w:color w:val="000000"/>
          <w:sz w:val="22"/>
          <w:szCs w:val="22"/>
        </w:rPr>
        <w:t xml:space="preserve">GS1 = Impact Climat / Air (GHG) · GS2 = Gestion de l’eau · GS3 = Sols et biodiversité · GS4 = Ressources et déchets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Critère</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GS1</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GS2</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GS3</w:t>
            </w:r>
          </w:p>
        </w:tc>
        <w:tc>
          <w:tcPr>
            <w:tcW w:type="dxa" w:w="184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GS4</w:t>
            </w:r>
          </w:p>
        </w:tc>
      </w:tr>
      <w:tr>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F4E79"/>
                <w:sz w:val="19"/>
                <w:szCs w:val="19"/>
              </w:rPr>
              <w:t xml:space="preserve">GS1</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3</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F4E79"/>
                <w:sz w:val="19"/>
                <w:szCs w:val="19"/>
              </w:rPr>
              <w:t xml:space="preserve">GS2</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5</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3</w:t>
            </w:r>
          </w:p>
        </w:tc>
      </w:tr>
      <w:tr>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F4E79"/>
                <w:sz w:val="19"/>
                <w:szCs w:val="19"/>
              </w:rPr>
              <w:t xml:space="preserve">GS3</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1/3</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1/5</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8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F4E79"/>
                <w:sz w:val="19"/>
                <w:szCs w:val="19"/>
              </w:rPr>
              <w:t xml:space="preserve">GS4</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1/3</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c>
          <w:tcPr>
            <w:tcW w:type="dxa" w:w="18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200"/>
      </w:tblGrid>
      <w:tr>
        <w:tc>
          <w:tcPr>
            <w:tcW w:type="dxa" w:w="3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Sous-score</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Code</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Poids AHP</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Poids %</w:t>
            </w:r>
          </w:p>
        </w:tc>
        <w:tc>
          <w:tcPr>
            <w:tcW w:type="dxa" w:w="1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Impact Climat / Air (GHG)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GS1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0.2772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27,7%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Gestion de l’eau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GS2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0.4658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46,6%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Sols et biodiversité</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GS3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0.0960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9,6%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Ressources et déchets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GS4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0.1610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16,1%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0.0113</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3.7 Matrice AHP globale — Agrégation FRI (CR = 0,0029)</w:t>
      </w:r>
    </w:p>
    <w:p>
      <w:pPr>
        <w:spacing w:after="80" w:before="80"/>
        <w:jc w:val="both"/>
      </w:pPr>
      <w:r>
        <w:rPr>
          <w:rFonts w:ascii="Arial" w:cs="Arial" w:eastAsia="Arial" w:hAnsi="Arial"/>
          <w:b w:val="false"/>
          <w:bCs w:val="false"/>
          <w:color w:val="000000"/>
          <w:sz w:val="22"/>
          <w:szCs w:val="22"/>
        </w:rPr>
        <w:t xml:space="preserve">Cette matrice 5×5 définit les poids d’agrégation finale du Financing Readiness Index. Elle reflète la primauté du Market et de l’Innovation dans la décision bancaire tunisienne.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35"/>
        <w:gridCol w:w="1533"/>
        <w:gridCol w:w="1533"/>
        <w:gridCol w:w="1533"/>
        <w:gridCol w:w="1533"/>
        <w:gridCol w:w="1533"/>
      </w:tblGrid>
      <w:tr>
        <w:tc>
          <w:tcPr>
            <w:tcW w:type="dxa" w:w="1535"/>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Critère</w:t>
            </w:r>
          </w:p>
        </w:tc>
        <w:tc>
          <w:tcPr>
            <w:tcW w:type="dxa" w:w="1533"/>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Market</w:t>
            </w:r>
          </w:p>
        </w:tc>
        <w:tc>
          <w:tcPr>
            <w:tcW w:type="dxa" w:w="1533"/>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Innov.</w:t>
            </w:r>
          </w:p>
        </w:tc>
        <w:tc>
          <w:tcPr>
            <w:tcW w:type="dxa" w:w="1533"/>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Comm.</w:t>
            </w:r>
          </w:p>
        </w:tc>
        <w:tc>
          <w:tcPr>
            <w:tcW w:type="dxa" w:w="1533"/>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Scale</w:t>
            </w:r>
          </w:p>
        </w:tc>
        <w:tc>
          <w:tcPr>
            <w:tcW w:type="dxa" w:w="1533"/>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Green</w:t>
            </w:r>
          </w:p>
        </w:tc>
      </w:tr>
      <w:tr>
        <w:tc>
          <w:tcPr>
            <w:tcW w:type="dxa" w:w="1535"/>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F4E79"/>
                <w:sz w:val="19"/>
                <w:szCs w:val="19"/>
              </w:rPr>
              <w:t xml:space="preserve">Market</w:t>
            </w:r>
          </w:p>
        </w:tc>
        <w:tc>
          <w:tcPr>
            <w:tcW w:type="dxa" w:w="153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533"/>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F4E79"/>
                <w:sz w:val="19"/>
                <w:szCs w:val="19"/>
              </w:rPr>
              <w:t xml:space="preserve">1</w:t>
            </w:r>
          </w:p>
        </w:tc>
        <w:tc>
          <w:tcPr>
            <w:tcW w:type="dxa" w:w="1533"/>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c>
          <w:tcPr>
            <w:tcW w:type="dxa" w:w="1533"/>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c>
          <w:tcPr>
            <w:tcW w:type="dxa" w:w="1533"/>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4</w:t>
            </w:r>
          </w:p>
        </w:tc>
      </w:tr>
      <w:tr>
        <w:tc>
          <w:tcPr>
            <w:tcW w:type="dxa" w:w="153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F4E79"/>
                <w:sz w:val="19"/>
                <w:szCs w:val="19"/>
              </w:rPr>
              <w:t xml:space="preserve">Innov.</w:t>
            </w:r>
          </w:p>
        </w:tc>
        <w:tc>
          <w:tcPr>
            <w:tcW w:type="dxa" w:w="15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F4E79"/>
                <w:sz w:val="19"/>
                <w:szCs w:val="19"/>
              </w:rPr>
              <w:t xml:space="preserve">1</w:t>
            </w:r>
          </w:p>
        </w:tc>
        <w:tc>
          <w:tcPr>
            <w:tcW w:type="dxa" w:w="153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5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c>
          <w:tcPr>
            <w:tcW w:type="dxa" w:w="15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c>
          <w:tcPr>
            <w:tcW w:type="dxa" w:w="15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4</w:t>
            </w:r>
          </w:p>
        </w:tc>
      </w:tr>
      <w:tr>
        <w:tc>
          <w:tcPr>
            <w:tcW w:type="dxa" w:w="1535"/>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F4E79"/>
                <w:sz w:val="19"/>
                <w:szCs w:val="19"/>
              </w:rPr>
              <w:t xml:space="preserve">Comm.</w:t>
            </w:r>
          </w:p>
        </w:tc>
        <w:tc>
          <w:tcPr>
            <w:tcW w:type="dxa" w:w="1533"/>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c>
          <w:tcPr>
            <w:tcW w:type="dxa" w:w="1533"/>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c>
          <w:tcPr>
            <w:tcW w:type="dxa" w:w="153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533"/>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F4E79"/>
                <w:sz w:val="19"/>
                <w:szCs w:val="19"/>
              </w:rPr>
              <w:t xml:space="preserve">1</w:t>
            </w:r>
          </w:p>
        </w:tc>
        <w:tc>
          <w:tcPr>
            <w:tcW w:type="dxa" w:w="1533"/>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r>
      <w:tr>
        <w:tc>
          <w:tcPr>
            <w:tcW w:type="dxa" w:w="153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F4E79"/>
                <w:sz w:val="19"/>
                <w:szCs w:val="19"/>
              </w:rPr>
              <w:t xml:space="preserve">Scale</w:t>
            </w:r>
          </w:p>
        </w:tc>
        <w:tc>
          <w:tcPr>
            <w:tcW w:type="dxa" w:w="15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c>
          <w:tcPr>
            <w:tcW w:type="dxa" w:w="15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c>
          <w:tcPr>
            <w:tcW w:type="dxa" w:w="15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F4E79"/>
                <w:sz w:val="19"/>
                <w:szCs w:val="19"/>
              </w:rPr>
              <w:t xml:space="preserve">1</w:t>
            </w:r>
          </w:p>
        </w:tc>
        <w:tc>
          <w:tcPr>
            <w:tcW w:type="dxa" w:w="153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c>
          <w:tcPr>
            <w:tcW w:type="dxa" w:w="153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2</w:t>
            </w:r>
          </w:p>
        </w:tc>
      </w:tr>
      <w:tr>
        <w:tc>
          <w:tcPr>
            <w:tcW w:type="dxa" w:w="1535"/>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F4E79"/>
                <w:sz w:val="19"/>
                <w:szCs w:val="19"/>
              </w:rPr>
              <w:t xml:space="preserve">Green</w:t>
            </w:r>
          </w:p>
        </w:tc>
        <w:tc>
          <w:tcPr>
            <w:tcW w:type="dxa" w:w="1533"/>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1/4</w:t>
            </w:r>
          </w:p>
        </w:tc>
        <w:tc>
          <w:tcPr>
            <w:tcW w:type="dxa" w:w="1533"/>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1/4</w:t>
            </w:r>
          </w:p>
        </w:tc>
        <w:tc>
          <w:tcPr>
            <w:tcW w:type="dxa" w:w="1533"/>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c>
          <w:tcPr>
            <w:tcW w:type="dxa" w:w="1533"/>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1/2</w:t>
            </w:r>
          </w:p>
        </w:tc>
        <w:tc>
          <w:tcPr>
            <w:tcW w:type="dxa" w:w="153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1</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200"/>
      </w:tblGrid>
      <w:tr>
        <w:tc>
          <w:tcPr>
            <w:tcW w:type="dxa" w:w="3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Poids global</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Poids %</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Market Score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0.2976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29,8%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Critère bancaire primaire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Innovation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0.2976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29,8%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Différenciation &amp; Startup Act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Commercial Offer Score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0.1579</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15,8%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Viabilité commerciale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Scalability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0.1579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15,8%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Potentiel de croissance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Green Score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0.0889</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19"/>
                <w:szCs w:val="19"/>
              </w:rPr>
              <w:t xml:space="preserve">8,9%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Alignement ODD / bailleurs verts</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4. Ajustements Sectoriels</w:t>
      </w:r>
    </w:p>
    <w:p>
      <w:pPr>
        <w:pStyle w:val="Heading2"/>
        <w:spacing w:after="140" w:before="300"/>
      </w:pPr>
      <w:r>
        <w:rPr>
          <w:rFonts w:ascii="Arial" w:cs="Arial" w:eastAsia="Arial" w:hAnsi="Arial"/>
          <w:b/>
          <w:bCs/>
          <w:color w:val="2E75B6"/>
          <w:sz w:val="28"/>
          <w:szCs w:val="28"/>
        </w:rPr>
        <w:t xml:space="preserve">4.1 Principe</w:t>
      </w:r>
    </w:p>
    <w:p>
      <w:pPr>
        <w:spacing w:after="80" w:before="80"/>
        <w:jc w:val="both"/>
      </w:pPr>
      <w:r>
        <w:rPr>
          <w:rFonts w:ascii="Arial" w:cs="Arial" w:eastAsia="Arial" w:hAnsi="Arial"/>
          <w:b w:val="false"/>
          <w:bCs w:val="false"/>
          <w:color w:val="000000"/>
          <w:sz w:val="22"/>
          <w:szCs w:val="22"/>
        </w:rPr>
        <w:t xml:space="preserve">Les poids AHP de base sont ajustés par secteur via des bonus/malus additifs (SECTOR_ADJUSTMENTS dans matrice_coeff.py). Après ajustement, les poids sont renormalisés pour sommer à 1. Cela permet d’adapter la pondération aux réalités opérationnelles sectorielles tunisiennes sans changer l’architecture globale.</w:t>
      </w:r>
    </w:p>
    <w:p>
      <w:pPr>
        <w:pStyle w:val="Heading2"/>
        <w:spacing w:after="140" w:before="300"/>
      </w:pPr>
      <w:r>
        <w:rPr>
          <w:rFonts w:ascii="Arial" w:cs="Arial" w:eastAsia="Arial" w:hAnsi="Arial"/>
          <w:b/>
          <w:bCs/>
          <w:color w:val="2E75B6"/>
          <w:sz w:val="28"/>
          <w:szCs w:val="28"/>
        </w:rPr>
        <w:t xml:space="preserve">4.2 Agriculture / Agroalimentaire / AgriTech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100"/>
        <w:gridCol w:w="1100"/>
        <w:gridCol w:w="1100"/>
        <w:gridCol w:w="1200"/>
      </w:tblGrid>
      <w:tr>
        <w:tc>
          <w:tcPr>
            <w:tcW w:type="dxa" w:w="2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MS1</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MS3</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CO3</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CO4</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SC4</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GS2</w:t>
            </w:r>
          </w:p>
        </w:tc>
        <w:tc>
          <w:tcPr>
            <w:tcW w:type="dxa" w:w="1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GS3</w:t>
            </w:r>
          </w:p>
        </w:tc>
      </w:tr>
      <w:tr>
        <w:tc>
          <w:tcPr>
            <w:tcW w:type="dxa" w:w="24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tcPr>
          <w:p>
            <w:pPr>
              <w:jc w:val="left"/>
            </w:pPr>
            <w:r>
              <w:rPr>
                <w:rFonts w:ascii="Arial" w:cs="Arial" w:eastAsia="Arial" w:hAnsi="Arial"/>
                <w:b/>
                <w:bCs/>
                <w:color w:val="1E6B3C"/>
                <w:sz w:val="19"/>
                <w:szCs w:val="19"/>
              </w:rPr>
              <w:t xml:space="preserve">Ajustement</w:t>
            </w:r>
          </w:p>
        </w:tc>
        <w:tc>
          <w:tcPr>
            <w:tcW w:type="dxa" w:w="11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+0.05</w:t>
            </w:r>
          </w:p>
        </w:tc>
        <w:tc>
          <w:tcPr>
            <w:tcW w:type="dxa" w:w="11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+0.10</w:t>
            </w:r>
          </w:p>
        </w:tc>
        <w:tc>
          <w:tcPr>
            <w:tcW w:type="dxa" w:w="11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+0.10</w:t>
            </w:r>
          </w:p>
        </w:tc>
        <w:tc>
          <w:tcPr>
            <w:tcW w:type="dxa" w:w="11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+0.05</w:t>
            </w:r>
          </w:p>
        </w:tc>
        <w:tc>
          <w:tcPr>
            <w:tcW w:type="dxa" w:w="11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+0.10</w:t>
            </w:r>
          </w:p>
        </w:tc>
        <w:tc>
          <w:tcPr>
            <w:tcW w:type="dxa" w:w="11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+0.15</w:t>
            </w:r>
          </w:p>
        </w:tc>
        <w:tc>
          <w:tcPr>
            <w:tcW w:type="dxa" w:w="12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+0.10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Justification</w:t>
            </w:r>
          </w:p>
        </w:tc>
        <w:tc>
          <w:tcPr>
            <w:tcW w:type="dxa" w:w="6800"/>
            <w:gridSpan w:val="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Validation client terrain et gestion hydrique prioritaires. Accès foncier et saisonnalité structurent la scalabilité. GS2 eau critique pour financements verts (AFD, BAD MENA).</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4.3 Tech / Digital / FinTech / EdTech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100"/>
        <w:gridCol w:w="1100"/>
        <w:gridCol w:w="1100"/>
        <w:gridCol w:w="1200"/>
      </w:tblGrid>
      <w:tr>
        <w:tc>
          <w:tcPr>
            <w:tcW w:type="dxa" w:w="2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MS3</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MS4</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CO1</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IN2</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IN3</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SC1</w:t>
            </w:r>
          </w:p>
        </w:tc>
        <w:tc>
          <w:tcPr>
            <w:tcW w:type="dxa" w:w="1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SC2</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19"/>
                <w:szCs w:val="19"/>
              </w:rPr>
              <w:t xml:space="preserve">Ajustement</w:t>
            </w:r>
          </w:p>
        </w:tc>
        <w:tc>
          <w:tcPr>
            <w:tcW w:type="dxa" w:w="11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val="false"/>
                <w:bCs w:val="false"/>
                <w:color w:val="1F4E79"/>
                <w:sz w:val="19"/>
                <w:szCs w:val="19"/>
              </w:rPr>
              <w:t xml:space="preserve">+0.15</w:t>
            </w:r>
          </w:p>
        </w:tc>
        <w:tc>
          <w:tcPr>
            <w:tcW w:type="dxa" w:w="11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val="false"/>
                <w:bCs w:val="false"/>
                <w:color w:val="1F4E79"/>
                <w:sz w:val="19"/>
                <w:szCs w:val="19"/>
              </w:rPr>
              <w:t xml:space="preserve">+0.05</w:t>
            </w:r>
          </w:p>
        </w:tc>
        <w:tc>
          <w:tcPr>
            <w:tcW w:type="dxa" w:w="11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val="false"/>
                <w:bCs w:val="false"/>
                <w:color w:val="1F4E79"/>
                <w:sz w:val="19"/>
                <w:szCs w:val="19"/>
              </w:rPr>
              <w:t xml:space="preserve">+0.10</w:t>
            </w:r>
          </w:p>
        </w:tc>
        <w:tc>
          <w:tcPr>
            <w:tcW w:type="dxa" w:w="11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val="false"/>
                <w:bCs w:val="false"/>
                <w:color w:val="1F4E79"/>
                <w:sz w:val="19"/>
                <w:szCs w:val="19"/>
              </w:rPr>
              <w:t xml:space="preserve">+0.10</w:t>
            </w:r>
          </w:p>
        </w:tc>
        <w:tc>
          <w:tcPr>
            <w:tcW w:type="dxa" w:w="11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val="false"/>
                <w:bCs w:val="false"/>
                <w:color w:val="1F4E79"/>
                <w:sz w:val="19"/>
                <w:szCs w:val="19"/>
              </w:rPr>
              <w:t xml:space="preserve">+0.10</w:t>
            </w:r>
          </w:p>
        </w:tc>
        <w:tc>
          <w:tcPr>
            <w:tcW w:type="dxa" w:w="11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F4E79"/>
                <w:sz w:val="19"/>
                <w:szCs w:val="19"/>
              </w:rPr>
              <w:t xml:space="preserve">+0.10</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val="false"/>
                <w:bCs w:val="false"/>
                <w:color w:val="1F4E79"/>
                <w:sz w:val="19"/>
                <w:szCs w:val="19"/>
              </w:rPr>
              <w:t xml:space="preserve">+0.10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Justification</w:t>
            </w:r>
          </w:p>
        </w:tc>
        <w:tc>
          <w:tcPr>
            <w:tcW w:type="dxa" w:w="6800"/>
            <w:gridSpan w:val="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Traction client (MS3) et modèle récurrent (MS4) sont les signaux bancaires primaires pour les SaaS. IP (IN3) et scalabilité (SC1/SC2) distinguent les projets Startup Act Art.3.</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4.4 Industrie / Construction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400"/>
        <w:gridCol w:w="1400"/>
      </w:tblGrid>
      <w:tr>
        <w:tc>
          <w:tcPr>
            <w:tcW w:type="dxa" w:w="2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CO2</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IN1</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IN3</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SC1</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SC2</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GS1+GS2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Ajustement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595959"/>
                <w:sz w:val="19"/>
                <w:szCs w:val="19"/>
              </w:rPr>
              <w:t xml:space="preserve">+0.10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595959"/>
                <w:sz w:val="19"/>
                <w:szCs w:val="19"/>
              </w:rPr>
              <w:t xml:space="preserve">+0.05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595959"/>
                <w:sz w:val="19"/>
                <w:szCs w:val="19"/>
              </w:rPr>
              <w:t xml:space="preserve">+0.10</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-0.10</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-0.10</w:t>
            </w:r>
          </w:p>
        </w:tc>
        <w:tc>
          <w:tcPr>
            <w:tcW w:type="dxa" w:w="14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tcPr>
          <w:p>
            <w:pPr>
              <w:jc w:val="center"/>
            </w:pPr>
            <w:r>
              <w:rPr>
                <w:rFonts w:ascii="Arial" w:cs="Arial" w:eastAsia="Arial" w:hAnsi="Arial"/>
                <w:b w:val="false"/>
                <w:bCs w:val="false"/>
                <w:color w:val="1E6B3C"/>
                <w:sz w:val="19"/>
                <w:szCs w:val="19"/>
              </w:rPr>
              <w:t xml:space="preserve">+0.15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Justification</w:t>
            </w:r>
          </w:p>
        </w:tc>
        <w:tc>
          <w:tcPr>
            <w:tcW w:type="dxa" w:w="8400"/>
            <w:gridSpan w:val="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Maturité produit (CO2) et certification ISO critiques. Scalabilité structurellement limitée (CAPEX élevé) — malus SC1/SC2. Impact environnemental renforcé pour FOPRODI.</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4.5 Services / Tourisme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600"/>
        <w:gridCol w:w="1400"/>
      </w:tblGrid>
      <w:tr>
        <w:tc>
          <w:tcPr>
            <w:tcW w:type="dxa" w:w="2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MS2</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MS3</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CO1</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CO4</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SC4</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bCs/>
                <w:color w:val="7F6000"/>
                <w:sz w:val="19"/>
                <w:szCs w:val="19"/>
              </w:rPr>
              <w:t xml:space="preserve">Ajustement</w:t>
            </w:r>
          </w:p>
        </w:tc>
        <w:tc>
          <w:tcPr>
            <w:tcW w:type="dxa" w:w="1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7F6000"/>
                <w:sz w:val="19"/>
                <w:szCs w:val="19"/>
              </w:rPr>
              <w:t xml:space="preserve">+0.05</w:t>
            </w:r>
          </w:p>
        </w:tc>
        <w:tc>
          <w:tcPr>
            <w:tcW w:type="dxa" w:w="1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7F6000"/>
                <w:sz w:val="19"/>
                <w:szCs w:val="19"/>
              </w:rPr>
              <w:t xml:space="preserve">+0.05</w:t>
            </w:r>
          </w:p>
        </w:tc>
        <w:tc>
          <w:tcPr>
            <w:tcW w:type="dxa" w:w="1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7F6000"/>
                <w:sz w:val="19"/>
                <w:szCs w:val="19"/>
              </w:rPr>
              <w:t xml:space="preserve">+0.05</w:t>
            </w:r>
          </w:p>
        </w:tc>
        <w:tc>
          <w:tcPr>
            <w:tcW w:type="dxa" w:w="1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7F6000"/>
                <w:sz w:val="19"/>
                <w:szCs w:val="19"/>
              </w:rPr>
              <w:t xml:space="preserve">+0.10</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-0.07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Justification</w:t>
            </w:r>
          </w:p>
        </w:tc>
        <w:tc>
          <w:tcPr>
            <w:tcW w:type="dxa" w:w="7800"/>
            <w:gridSpan w:val="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Fidélisation client (CO4) et présence concurrentielle (MS2) prédominent. Potentiel géographique réduit pour les services locaux à forte composante humaine.</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4.6 Commerce / Transport / Logistique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400"/>
        <w:gridCol w:w="1400"/>
      </w:tblGrid>
      <w:tr>
        <w:tc>
          <w:tcPr>
            <w:tcW w:type="dxa" w:w="2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MS1</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MS3</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MS4</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CO3</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SC1</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SC3</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bCs/>
                <w:color w:val="C55A11"/>
                <w:sz w:val="19"/>
                <w:szCs w:val="19"/>
              </w:rPr>
              <w:t xml:space="preserve">Ajustement</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+0.05</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+0.05</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+0.05</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+0.10</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+0.05</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+0.10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Justification</w:t>
            </w:r>
          </w:p>
        </w:tc>
        <w:tc>
          <w:tcPr>
            <w:tcW w:type="dxa" w:w="8400"/>
            <w:gridSpan w:val="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Taille marché et stratégie prix (CO3) sont les leviers différenciateurs. Réplicabilité réseau de distribution (SC1) et coûts logistiques (SC3) déterminent la rentabilité à l’échelle.</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5. Financing Readiness Index (FRI) et Règles de Plafonnage</w:t>
      </w:r>
    </w:p>
    <w:p>
      <w:pPr>
        <w:pStyle w:val="Heading2"/>
        <w:spacing w:after="140" w:before="300"/>
      </w:pPr>
      <w:r>
        <w:rPr>
          <w:rFonts w:ascii="Arial" w:cs="Arial" w:eastAsia="Arial" w:hAnsi="Arial"/>
          <w:b/>
          <w:bCs/>
          <w:color w:val="2E75B6"/>
          <w:sz w:val="28"/>
          <w:szCs w:val="28"/>
        </w:rPr>
        <w:t xml:space="preserve">5.1 Formule de calcul</w:t>
      </w:r>
    </w:p>
    <w:p>
      <w:pPr>
        <w:spacing w:after="80" w:before="80"/>
        <w:jc w:val="both"/>
      </w:pPr>
      <w:r>
        <w:rPr>
          <w:rFonts w:ascii="Arial" w:cs="Arial" w:eastAsia="Arial" w:hAnsi="Arial"/>
          <w:b/>
          <w:bCs/>
          <w:color w:val="000000"/>
          <w:sz w:val="22"/>
          <w:szCs w:val="22"/>
        </w:rPr>
        <w:t xml:space="preserve">Étape 1 — Score brut AHP global :</w:t>
      </w:r>
    </w:p>
    <w:p>
      <w:pPr>
        <w:spacing w:after="80" w:before="80"/>
        <w:jc w:val="both"/>
      </w:pPr>
      <w:r>
        <w:rPr>
          <w:rFonts w:ascii="Arial" w:cs="Arial" w:eastAsia="Arial" w:hAnsi="Arial"/>
          <w:b w:val="false"/>
          <w:bCs w:val="false"/>
          <w:color w:val="000000"/>
          <w:sz w:val="22"/>
          <w:szCs w:val="22"/>
        </w:rPr>
        <w:t xml:space="preserve">FRI_brut = 0,2976 × Market + 0,2976 × Innovation + 0,1579 × Commercial + 0,1579 × Scalability + 0,0889 × Green</w:t>
      </w:r>
    </w:p>
    <w:p>
      <w:pPr>
        <w:spacing w:after="80" w:before="80"/>
        <w:jc w:val="both"/>
      </w:pPr>
      <w:r>
        <w:rPr>
          <w:rFonts w:ascii="Arial" w:cs="Arial" w:eastAsia="Arial" w:hAnsi="Arial"/>
          <w:b/>
          <w:bCs/>
          <w:color w:val="000000"/>
          <w:sz w:val="22"/>
          <w:szCs w:val="22"/>
        </w:rPr>
        <w:t xml:space="preserve">Étape 2 — Pénalité exponentielle des blockers (Stiglitz &amp; Weiss 1981) :</w:t>
      </w:r>
    </w:p>
    <w:p>
      <w:pPr>
        <w:spacing w:after="80" w:before="80"/>
        <w:jc w:val="both"/>
      </w:pPr>
      <w:r>
        <w:rPr>
          <w:rFonts w:ascii="Arial" w:cs="Arial" w:eastAsia="Arial" w:hAnsi="Arial"/>
          <w:b w:val="false"/>
          <w:bCs w:val="false"/>
          <w:color w:val="000000"/>
          <w:sz w:val="22"/>
          <w:szCs w:val="22"/>
        </w:rPr>
        <w:t xml:space="preserve">FRI_après_pénalités = FRI_brut × exp(−Σλi)</w:t>
      </w:r>
    </w:p>
    <w:p>
      <w:pPr>
        <w:spacing w:after="80" w:before="80"/>
        <w:jc w:val="both"/>
      </w:pPr>
      <w:r>
        <w:rPr>
          <w:rFonts w:ascii="Arial" w:cs="Arial" w:eastAsia="Arial" w:hAnsi="Arial"/>
          <w:b w:val="false"/>
          <w:bCs w:val="false"/>
          <w:color w:val="000000"/>
          <w:sz w:val="22"/>
          <w:szCs w:val="22"/>
        </w:rPr>
        <w:t xml:space="preserve">La fonction exponentielle modélise le fait que les blockers cumulatifs ne s’additionnent pas linéairement : chaque nouveau bloqueur crédibilise une incapacité systémique. Les λi sont calibrés par niveau de sévérité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800"/>
      </w:tblGrid>
      <w:tr>
        <w:tc>
          <w:tcPr>
            <w:tcW w:type="dxa" w:w="2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Niveau blocker</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λ (sévérité)</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 exp</w:t>
            </w:r>
          </w:p>
        </w:tc>
        <w:tc>
          <w:tcPr>
            <w:tcW w:type="dxa" w:w="2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Interprétation</w:t>
            </w:r>
          </w:p>
        </w:tc>
      </w:tr>
      <w:tr>
        <w:tc>
          <w:tcPr>
            <w:tcW w:type="dxa" w:w="24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left"/>
            </w:pPr>
            <w:r>
              <w:rPr>
                <w:rFonts w:ascii="Arial" w:cs="Arial" w:eastAsia="Arial" w:hAnsi="Arial"/>
                <w:b/>
                <w:bCs/>
                <w:color w:val="C00000"/>
                <w:sz w:val="19"/>
                <w:szCs w:val="19"/>
              </w:rPr>
              <w:t xml:space="preserve">ROUGE</w:t>
            </w:r>
          </w:p>
        </w:tc>
        <w:tc>
          <w:tcPr>
            <w:tcW w:type="dxa" w:w="20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center"/>
            </w:pPr>
            <w:r>
              <w:rPr>
                <w:rFonts w:ascii="Arial" w:cs="Arial" w:eastAsia="Arial" w:hAnsi="Arial"/>
                <w:b w:val="false"/>
                <w:bCs w:val="false"/>
                <w:color w:val="C00000"/>
                <w:sz w:val="19"/>
                <w:szCs w:val="19"/>
              </w:rPr>
              <w:t xml:space="preserve">0.70</w:t>
            </w:r>
          </w:p>
        </w:tc>
        <w:tc>
          <w:tcPr>
            <w:tcW w:type="dxa" w:w="20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center"/>
            </w:pPr>
            <w:r>
              <w:rPr>
                <w:rFonts w:ascii="Arial" w:cs="Arial" w:eastAsia="Arial" w:hAnsi="Arial"/>
                <w:b w:val="false"/>
                <w:bCs w:val="false"/>
                <w:color w:val="C00000"/>
                <w:sz w:val="19"/>
                <w:szCs w:val="19"/>
              </w:rPr>
              <w:t xml:space="preserve">−50,3% / blocker</w:t>
            </w:r>
          </w:p>
        </w:tc>
        <w:tc>
          <w:tcPr>
            <w:tcW w:type="dxa" w:w="28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Bloqueur rédhibitoire — paralysie opérationnelle</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bCs/>
                <w:color w:val="C55A11"/>
                <w:sz w:val="19"/>
                <w:szCs w:val="19"/>
              </w:rPr>
              <w:t xml:space="preserve">ORANGE</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0.25</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val="false"/>
                <w:bCs w:val="false"/>
                <w:color w:val="C55A11"/>
                <w:sz w:val="19"/>
                <w:szCs w:val="19"/>
              </w:rPr>
              <w:t xml:space="preserve">−22,1% / blocker</w:t>
            </w:r>
          </w:p>
        </w:tc>
        <w:tc>
          <w:tcPr>
            <w:tcW w:type="dxa" w:w="28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Bloqueur majeur — limite l’accès au financement</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bCs/>
                <w:color w:val="7F6000"/>
                <w:sz w:val="19"/>
                <w:szCs w:val="19"/>
              </w:rPr>
              <w:t xml:space="preserve">JAUNE</w:t>
            </w:r>
          </w:p>
        </w:tc>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7F6000"/>
                <w:sz w:val="19"/>
                <w:szCs w:val="19"/>
              </w:rPr>
              <w:t xml:space="preserve">0.10</w:t>
            </w:r>
          </w:p>
        </w:tc>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7F6000"/>
                <w:sz w:val="19"/>
                <w:szCs w:val="19"/>
              </w:rPr>
              <w:t xml:space="preserve">−9,5% / blocker</w:t>
            </w:r>
          </w:p>
        </w:tc>
        <w:tc>
          <w:tcPr>
            <w:tcW w:type="dxa" w:w="2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Point de vigilance — corrigeable à court terme</w:t>
            </w:r>
          </w:p>
        </w:tc>
      </w:tr>
    </w:tbl>
    <w:p>
      <w:pPr>
        <w:spacing w:after="60" w:before="60"/>
      </w:pPr>
      <w:r>
        <w:t xml:space="preserve"/>
      </w:r>
    </w:p>
    <w:p>
      <w:pPr>
        <w:spacing w:after="80" w:before="80"/>
        <w:jc w:val="both"/>
      </w:pPr>
      <w:r>
        <w:rPr>
          <w:rFonts w:ascii="Arial" w:cs="Arial" w:eastAsia="Arial" w:hAnsi="Arial"/>
          <w:b/>
          <w:bCs/>
          <w:color w:val="000000"/>
          <w:sz w:val="22"/>
          <w:szCs w:val="22"/>
        </w:rPr>
        <w:t xml:space="preserve">Étape 3 — Soustraction pénalités globales des anomalies inter-scores, puis bornage [0,100].</w:t>
      </w:r>
    </w:p>
    <w:p>
      <w:pPr>
        <w:pStyle w:val="Heading2"/>
        <w:spacing w:after="140" w:before="300"/>
      </w:pPr>
      <w:r>
        <w:rPr>
          <w:rFonts w:ascii="Arial" w:cs="Arial" w:eastAsia="Arial" w:hAnsi="Arial"/>
          <w:b/>
          <w:bCs/>
          <w:color w:val="2E75B6"/>
          <w:sz w:val="28"/>
          <w:szCs w:val="28"/>
        </w:rPr>
        <w:t xml:space="preserve">5.2 Règles de hard-cap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800"/>
      </w:tblGrid>
      <w:tr>
        <w:tc>
          <w:tcPr>
            <w:tcW w:type="dxa" w:w="3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Condition</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Plafond</w:t>
            </w:r>
          </w:p>
        </w:tc>
        <w:tc>
          <w:tcPr>
            <w:tcW w:type="dxa" w:w="4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w:t>
            </w:r>
          </w:p>
        </w:tc>
      </w:tr>
      <w:tr>
        <w:tc>
          <w:tcPr>
            <w:tcW w:type="dxa" w:w="30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left"/>
            </w:pPr>
            <w:r>
              <w:rPr>
                <w:rFonts w:ascii="Arial" w:cs="Arial" w:eastAsia="Arial" w:hAnsi="Arial"/>
                <w:b/>
                <w:bCs/>
                <w:color w:val="C00000"/>
                <w:sz w:val="19"/>
                <w:szCs w:val="19"/>
              </w:rPr>
              <w:t xml:space="preserve">Market Score &lt; 30</w:t>
            </w:r>
          </w:p>
        </w:tc>
        <w:tc>
          <w:tcPr>
            <w:tcW w:type="dxa" w:w="14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FRI ≤ 40</w:t>
            </w:r>
          </w:p>
        </w:tc>
        <w:tc>
          <w:tcPr>
            <w:tcW w:type="dxa" w:w="48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Un marché non validé est le signal le plus fort de non-bancabilité. Aucune institution financière tunisienne (BFPME, banques commerciales) ne finance un projet sans taille de marché crédible.</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bCs/>
                <w:color w:val="C55A11"/>
                <w:sz w:val="19"/>
                <w:szCs w:val="19"/>
              </w:rPr>
              <w:t xml:space="preserve">Commercial Score &lt; 25</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FRI ≤ 40</w:t>
            </w:r>
          </w:p>
        </w:tc>
        <w:tc>
          <w:tcPr>
            <w:tcW w:type="dxa" w:w="48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Une offre commerciale embryonnaire signale l’absence de proposition de valeur défendable. Stiglitz &amp; Weiss : le banquier ne peut distinguer un projet viable d’un projet risqué sans offre définie.</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5.3 Grille d’interprétation du FRI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000"/>
      </w:tblGrid>
      <w:tr>
        <w:tc>
          <w:tcPr>
            <w:tcW w:type="dxa" w:w="1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FRI</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Statut</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is_financeable</w:t>
            </w:r>
          </w:p>
        </w:tc>
        <w:tc>
          <w:tcPr>
            <w:tcW w:type="dxa" w:w="3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Signification</w:t>
            </w:r>
          </w:p>
        </w:tc>
      </w:tr>
      <w:tr>
        <w:tc>
          <w:tcPr>
            <w:tcW w:type="dxa" w:w="18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 75</w:t>
            </w:r>
          </w:p>
        </w:tc>
        <w:tc>
          <w:tcPr>
            <w:tcW w:type="dxa" w:w="22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Excellent</w:t>
            </w:r>
          </w:p>
        </w:tc>
        <w:tc>
          <w:tcPr>
            <w:tcW w:type="dxa" w:w="22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TRUE</w:t>
            </w:r>
          </w:p>
        </w:tc>
        <w:tc>
          <w:tcPr>
            <w:tcW w:type="dxa" w:w="30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Profil très robuste — dossier bancable immédiat</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7F6000"/>
                <w:sz w:val="19"/>
                <w:szCs w:val="19"/>
              </w:rPr>
              <w:t xml:space="preserve">55 – 74</w:t>
            </w:r>
          </w:p>
        </w:tc>
        <w:tc>
          <w:tcPr>
            <w:tcW w:type="dxa" w:w="2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7F6000"/>
                <w:sz w:val="19"/>
                <w:szCs w:val="19"/>
              </w:rPr>
              <w:t xml:space="preserve">Favorable</w:t>
            </w:r>
          </w:p>
        </w:tc>
        <w:tc>
          <w:tcPr>
            <w:tcW w:type="dxa" w:w="2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7F6000"/>
                <w:sz w:val="19"/>
                <w:szCs w:val="19"/>
              </w:rPr>
              <w:t xml:space="preserve">TRUE</w:t>
            </w:r>
          </w:p>
        </w:tc>
        <w:tc>
          <w:tcPr>
            <w:tcW w:type="dxa" w:w="3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Bancable sous conditions — due diligence avec ajustements</w:t>
            </w:r>
          </w:p>
        </w:tc>
      </w:tr>
      <w:tr>
        <w:tc>
          <w:tcPr>
            <w:tcW w:type="dxa" w:w="18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&lt; 55</w:t>
            </w:r>
          </w:p>
        </w:tc>
        <w:tc>
          <w:tcPr>
            <w:tcW w:type="dxa" w:w="22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Non bancable</w:t>
            </w:r>
          </w:p>
        </w:tc>
        <w:tc>
          <w:tcPr>
            <w:tcW w:type="dxa" w:w="22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FALSE</w:t>
            </w:r>
          </w:p>
        </w:tc>
        <w:tc>
          <w:tcPr>
            <w:tcW w:type="dxa" w:w="30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Accompagnement structurant requis avant tout dépôt de dossier</w:t>
            </w:r>
          </w:p>
        </w:tc>
      </w:tr>
      <w:tr>
        <w:tc>
          <w:tcPr>
            <w:tcW w:type="dxa" w:w="1800"/>
            <w:tcBorders>
              <w:top w:val="single" w:color="CCCCCC" w:sz="1"/>
              <w:left w:val="single" w:color="CCCCCC" w:sz="1"/>
              <w:bottom w:val="single" w:color="CCCCCC" w:sz="1"/>
              <w:right w:val="single" w:color="CCCCCC" w:sz="1"/>
            </w:tcBorders>
            <w:shd w:fill="F4CCCC"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 40 (cap)</w:t>
            </w:r>
          </w:p>
        </w:tc>
        <w:tc>
          <w:tcPr>
            <w:tcW w:type="dxa" w:w="2200"/>
            <w:tcBorders>
              <w:top w:val="single" w:color="CCCCCC" w:sz="1"/>
              <w:left w:val="single" w:color="CCCCCC" w:sz="1"/>
              <w:bottom w:val="single" w:color="CCCCCC" w:sz="1"/>
              <w:right w:val="single" w:color="CCCCCC" w:sz="1"/>
            </w:tcBorders>
            <w:shd w:fill="F4CCCC"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Critique</w:t>
            </w:r>
          </w:p>
        </w:tc>
        <w:tc>
          <w:tcPr>
            <w:tcW w:type="dxa" w:w="2200"/>
            <w:tcBorders>
              <w:top w:val="single" w:color="CCCCCC" w:sz="1"/>
              <w:left w:val="single" w:color="CCCCCC" w:sz="1"/>
              <w:bottom w:val="single" w:color="CCCCCC" w:sz="1"/>
              <w:right w:val="single" w:color="CCCCCC" w:sz="1"/>
            </w:tcBorders>
            <w:shd w:fill="F4CCCC"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FALSE</w:t>
            </w:r>
          </w:p>
        </w:tc>
        <w:tc>
          <w:tcPr>
            <w:tcW w:type="dxa" w:w="3000"/>
            <w:tcBorders>
              <w:top w:val="single" w:color="CCCCCC" w:sz="1"/>
              <w:left w:val="single" w:color="CCCCCC" w:sz="1"/>
              <w:bottom w:val="single" w:color="CCCCCC" w:sz="1"/>
              <w:right w:val="single" w:color="CCCCCC" w:sz="1"/>
            </w:tcBorders>
            <w:shd w:fill="F4CCC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Hard-cap actif — dimension bloquante identifiée</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6. Catalogue des Anomalies — Feature 1 (Profil Entrepreneur)</w:t>
      </w:r>
    </w:p>
    <w:p>
      <w:pPr>
        <w:spacing w:after="80" w:before="80"/>
        <w:jc w:val="both"/>
      </w:pPr>
      <w:r>
        <w:rPr>
          <w:rFonts w:ascii="Arial" w:cs="Arial" w:eastAsia="Arial" w:hAnsi="Arial"/>
          <w:b w:val="false"/>
          <w:bCs w:val="false"/>
          <w:color w:val="000000"/>
          <w:sz w:val="22"/>
          <w:szCs w:val="22"/>
        </w:rPr>
        <w:t xml:space="preserve">Les anomalies Feature 1 sont détectées à partir du profil entrepreneur construit en Feature 1 (stade, équipe, juridique, financement, secteur). Elles signalent des incohérences structurelles entre la posture déclarée de l’entrepreneur et sa réalité opérationnelle. Chaque anomalie applique une pénalité directe sur la dimension concernée.</w:t>
      </w:r>
    </w:p>
    <w:p>
      <w:pPr>
        <w:spacing w:after="60" w:before="60"/>
      </w:pPr>
      <w:r>
        <w:t xml:space="preserve"/>
      </w:r>
    </w:p>
    <w:p>
      <w:pPr>
        <w:pStyle w:val="Heading2"/>
        <w:spacing w:after="140" w:before="300"/>
      </w:pPr>
      <w:r>
        <w:rPr>
          <w:rFonts w:ascii="Arial" w:cs="Arial" w:eastAsia="Arial" w:hAnsi="Arial"/>
          <w:b/>
          <w:bCs/>
          <w:color w:val="2E75B6"/>
          <w:sz w:val="28"/>
          <w:szCs w:val="28"/>
        </w:rPr>
        <w:t xml:space="preserve">6.1 Anomalies Juridiques &amp; Organisationnelles (F1)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900"/>
        <w:gridCol w:w="900"/>
        <w:gridCol w:w="1800"/>
        <w:gridCol w:w="2500"/>
      </w:tblGrid>
      <w:tr>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 Anomalie</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Sév.</w:t>
            </w:r>
          </w:p>
        </w:tc>
        <w:tc>
          <w:tcPr>
            <w:tcW w:type="dxa" w:w="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Pénalité</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Conditions</w:t>
            </w:r>
          </w:p>
        </w:tc>
        <w:tc>
          <w:tcPr>
            <w:tcW w:type="dxa" w:w="25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 économique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ANOM_F1_RNE_ABSENT_TRACTION</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Market</w:t>
            </w:r>
          </w:p>
        </w:tc>
        <w:tc>
          <w:tcPr>
            <w:tcW w:type="dxa" w:w="9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ROUGE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−15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MS3≥70 ET rne=false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Traction commerciale sans entité légale : impossible de facturer ou d’ouvrir un compte pro en Tunisie (BFPME, banques).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ANOM_F1_SOLO_GROWTH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Commercial</w:t>
            </w:r>
          </w:p>
        </w:tc>
        <w:tc>
          <w:tcPr>
            <w:tcW w:type="dxa" w:w="9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ROUGE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−10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equipe=solo ET stade≥Growth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Key-Man Risk rédhibitoire : gérer seul une startup en phase de croissance est rejeté par tout SICAR ou fonds institutionnel MENA.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ANOM_F1_SOLO_LEVEE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Commercial</w:t>
            </w:r>
          </w:p>
        </w:tc>
        <w:tc>
          <w:tcPr>
            <w:tcW w:type="dxa" w:w="9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ROUGE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−18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equipe=solo ET stade=Fundraising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Fondateur seul en phase de levée de fonds : aucun fonds MENA ne finance un projet sans équipe diversifiée (risque exécution critique).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ANOM_F1_STADE_AVANCE_SANS_CA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Market</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−12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stade≥Growth ET chiffre_affaires=0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Stade de croissance revendiqué sans chiffre d’affaires réel : contradiction de maturité — signal d’overestimation documentaire.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ANOM_F1_BP_ABSENT_STRUCTURATION</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Commercial</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−10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stade=Structuration ET business_plan=absent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Phase de structuration sans business plan : aucun dossier BFPME ou bancaire ne peut être déposé sans modélisation financière validée.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ANOM_F1_REGION_PDRI_SANS_PRIME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Commercial</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−10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rne=true ET financement=aucun ET localisation=région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RNE valide en région éligible PDRI sans financement : primes régionales APII non sollicitées — manque d’orientation structurel.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ANOM_F1_DOUBLE_CASQUETTE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Scalability</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7F6000"/>
                <w:sz w:val="19"/>
                <w:szCs w:val="19"/>
              </w:rPr>
              <w:t xml:space="preserve">JAUNE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−8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stade≥Structuration ET equipe≤2 ET secteurs≥2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Fondateur portant plusieurs projets simultanément : signal de dilution manageri ale, pénalisé par les SICAR pour risque de focus.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ANOM_F1_ACCOMPAGNEMENT_ZERO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Innovation</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7F6000"/>
                <w:sz w:val="19"/>
                <w:szCs w:val="19"/>
              </w:rPr>
              <w:t xml:space="preserve">JAUNE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−6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stade≥Growth ET accompagnement=jamais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Aucun accompagnement structurant depuis le stade de croissance : absence de mentoring est un signal négatif pour les labels Startup Act Art.3.</w:t>
            </w:r>
          </w:p>
        </w:tc>
      </w:tr>
    </w:tbl>
    <w:p>
      <w:pPr>
        <w:spacing w:after="60" w:before="60"/>
      </w:pPr>
      <w:r>
        <w:t xml:space="preserve"/>
      </w:r>
    </w:p>
    <w:p>
      <w:r>
        <w:br w:type="page"/>
      </w:r>
    </w:p>
    <w:p>
      <w:pPr>
        <w:pStyle w:val="Heading2"/>
        <w:spacing w:after="140" w:before="300"/>
      </w:pPr>
      <w:r>
        <w:rPr>
          <w:rFonts w:ascii="Arial" w:cs="Arial" w:eastAsia="Arial" w:hAnsi="Arial"/>
          <w:b/>
          <w:bCs/>
          <w:color w:val="2E75B6"/>
          <w:sz w:val="28"/>
          <w:szCs w:val="28"/>
        </w:rPr>
        <w:t xml:space="preserve">6.2 Anomalies Financières &amp; Sectorielles (F1)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900"/>
        <w:gridCol w:w="900"/>
        <w:gridCol w:w="1800"/>
        <w:gridCol w:w="2500"/>
      </w:tblGrid>
      <w:tr>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 Anomalie</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Sév.</w:t>
            </w:r>
          </w:p>
        </w:tc>
        <w:tc>
          <w:tcPr>
            <w:tcW w:type="dxa" w:w="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Pénalité</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Conditions</w:t>
            </w:r>
          </w:p>
        </w:tc>
        <w:tc>
          <w:tcPr>
            <w:tcW w:type="dxa" w:w="25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 économique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ANOM_F1_CAPEX_SANS_GARANTIE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Global</w:t>
            </w:r>
          </w:p>
        </w:tc>
        <w:tc>
          <w:tcPr>
            <w:tcW w:type="dxa" w:w="9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ROUGE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−22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SC3=CAPEX ET financement=aucun ET stade=Idéation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CAPEX prohibitif sans fonds propres ni garantie SOTUGAR : Stiglitz &amp; Weiss — aucune banque tunisienne ne finance ce profil sans garantie tiers.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ANOM_F1_AGRI_SANS_FONCIER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Scalability</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−10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secteur=Agri ET acces_foncier=aucun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Projet agricole sans accès foncier sécurisé : impossible de produire, d’obtenir des crédits BFPME ou des subventions FODECAP.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ANOM_F1_AGRI_SANS_CERTIFICATION</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Market</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−8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secteur=Agri ET certifications_sanitaires=false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Agroalimentaire sans certification ISO 22000 / HACCP : inaccessibilité aux marchés export et GMS — clientèle limitée au marché informel.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ANOM_F1_INDUSTRIE_SANS_ISO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Commercial</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7F6000"/>
                <w:sz w:val="19"/>
                <w:szCs w:val="19"/>
              </w:rPr>
              <w:t xml:space="preserve">JAUNE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−6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secteur=Industrie ET certification_iso=absent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Industrie sans certification ISO : accès aux donneurs d’ordre et marchés publics tunisiens bloqué — périmetre commercial réduit.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ANOM_F1_LOGISTIQUE_SANS_RESEAU</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Scalability</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−10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secteur=Commerce ET reseau_distribution=absent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Commerce sans réseau de distribution structuré : scalabilité commerciale bloquée — signal d’incapacité de montée en charge.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ANOM_F1_FUNDRAISING_SANS_PITCH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Commercial</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−12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stade=Fundraising ET pitch_deck=absent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Stade levée de fonds sans pitch deck : incapacité à présenter le projet aux investisseurs — contradiction procédurale irrecevable.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ANOM_F1_SAISONNALITE_SANS_PLAN</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Market</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7F6000"/>
                <w:sz w:val="19"/>
                <w:szCs w:val="19"/>
              </w:rPr>
              <w:t xml:space="preserve">JAUNE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−6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saisonnalite=forte ET plan_tresorerie=absent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Revenus fortement saisonnés sans plan de trésorerie inter-saison : risque de rupture de cash-flow signalé en due diligence bancaire.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ANOM_F1_EXPORT_SANS_DEVISES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Scalability</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−8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SC4=international ET compte_devises=false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Ambition internationale sans compte devises : Art.17 Startup Act non activé — impossible de recevoir paiements étrangers légalement.</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7. Catalogue des Anomalies — Feature 2 (Questionnaire Scoring)</w:t>
      </w:r>
    </w:p>
    <w:p>
      <w:pPr>
        <w:spacing w:after="80" w:before="80"/>
        <w:jc w:val="both"/>
      </w:pPr>
      <w:r>
        <w:rPr>
          <w:rFonts w:ascii="Arial" w:cs="Arial" w:eastAsia="Arial" w:hAnsi="Arial"/>
          <w:b w:val="false"/>
          <w:bCs w:val="false"/>
          <w:color w:val="000000"/>
          <w:sz w:val="22"/>
          <w:szCs w:val="22"/>
        </w:rPr>
        <w:t xml:space="preserve">Les anomalies Feature 2 sont déclenchées lorsque des sous-scores issus du questionnaire F2 sont mutuellement contradictoires. Elles captent les incohérences logiques entre dimensions : une forte traction sans modèle de revenus, une innovation revendiquée sans protéction IP, une scalabilité internationale sans structure de coûts compatible.</w:t>
      </w:r>
    </w:p>
    <w:p>
      <w:pPr>
        <w:spacing w:after="60" w:before="60"/>
      </w:pPr>
      <w:r>
        <w:t xml:space="preserve"/>
      </w:r>
    </w:p>
    <w:p>
      <w:pPr>
        <w:pStyle w:val="Heading2"/>
        <w:spacing w:after="140" w:before="300"/>
      </w:pPr>
      <w:r>
        <w:rPr>
          <w:rFonts w:ascii="Arial" w:cs="Arial" w:eastAsia="Arial" w:hAnsi="Arial"/>
          <w:b/>
          <w:bCs/>
          <w:color w:val="2E75B6"/>
          <w:sz w:val="28"/>
          <w:szCs w:val="28"/>
        </w:rPr>
        <w:t xml:space="preserve">7.1 Anomalies Market (F2)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900"/>
        <w:gridCol w:w="900"/>
        <w:gridCol w:w="1800"/>
        <w:gridCol w:w="2500"/>
      </w:tblGrid>
      <w:tr>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 Anomalie</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Sév.</w:t>
            </w:r>
          </w:p>
        </w:tc>
        <w:tc>
          <w:tcPr>
            <w:tcW w:type="dxa" w:w="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Pénalité</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Conditions</w:t>
            </w:r>
          </w:p>
        </w:tc>
        <w:tc>
          <w:tcPr>
            <w:tcW w:type="dxa" w:w="25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 économique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ANOM_F2_MS_TRACTION_SANS_REVENU</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Market</w:t>
            </w:r>
          </w:p>
        </w:tc>
        <w:tc>
          <w:tcPr>
            <w:tcW w:type="dxa" w:w="9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ROUGE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−8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MS3≥70 ET MS4≤20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Traction client élevée mais modèle de revenus embryonnaire : un client ne paye pas encore — croissance non monétisée.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ANOM_F2_MS_TAM_SANS_CA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Market</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−12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MS1≥75 ET chiffre_affaires=0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Grand marché revendiqué sans chiffre d’affaires : prétention non étayée, signal d’overestimation typique détecté en Feature 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ANOM_F2_MS_CONCURRENCE_SANS_DIFF</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Market</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−8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MS2≤75 ET IN1≤20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Marché très concurrentiel sans différenciation innovante : positionnement intenable — érosion prix inévitable.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ANOM_F2_MS_REVENU_SANS_TRACTION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Market</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7F6000"/>
                <w:sz w:val="19"/>
                <w:szCs w:val="19"/>
              </w:rPr>
              <w:t xml:space="preserve">JAUNE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−6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MS4≥75 ET MS3≤20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Modèle de revenus élaboré sans aucune validation client : édifice théorique non testé sur le terrain.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ANOM_F2_MS_NICHE_SANS_VOLUME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Market</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7F6000"/>
                <w:sz w:val="19"/>
                <w:szCs w:val="19"/>
              </w:rPr>
              <w:t xml:space="preserve">JAUNE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−5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MS1≤20 ET MS3≥75</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Marché adressable très étroit mais traction forte : risque de plafond de croissance à court terme.</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7.2 Anomalies Commercial Offer (F2)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900"/>
        <w:gridCol w:w="900"/>
        <w:gridCol w:w="1800"/>
        <w:gridCol w:w="2500"/>
      </w:tblGrid>
      <w:tr>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 Anomalie</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Sév.</w:t>
            </w:r>
          </w:p>
        </w:tc>
        <w:tc>
          <w:tcPr>
            <w:tcW w:type="dxa" w:w="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Pénalité</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Conditions</w:t>
            </w:r>
          </w:p>
        </w:tc>
        <w:tc>
          <w:tcPr>
            <w:tcW w:type="dxa" w:w="25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 économique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ANOM_F2_CO_BP_ABSENT_OFFRE_FORTE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Commercial</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−10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CO1≥70 ET business_plan=absent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Offre forte auto-déclarée sans business plan : aucun dossier BFPME ne peut être déposé sans modélisation financière.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ANOM_F2_CO_PRIX_PREMIUM_SANS_VALID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Commercial</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−8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CO3=premium ET MS3≤20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Stratégie premium sans aucune traction : risque d’illusion de valeur non validée par le marché tunisien.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ANOM_F2_CO_MVP_AVANCE_SANS_RETOUR</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Commercial</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7F6000"/>
                <w:sz w:val="19"/>
                <w:szCs w:val="19"/>
              </w:rPr>
              <w:t xml:space="preserve">JAUNE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−6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CO2≥75 ET MS3≤20 ET stade≥Growth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Produit mature sans feedback clients : développement en vase clos — risque d’inadaptation produit-marché.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ANOM_F2_CO_ALIGNEMENT_SANS_PRODUCT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Commercial</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−8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CO4≥75 ET CO2≤20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Fort alignement client déclaré sans produit développé : contradiction irrecevable — un client ne peut valider ce qui n’existe pas.</w:t>
            </w:r>
          </w:p>
        </w:tc>
      </w:tr>
    </w:tbl>
    <w:p>
      <w:pPr>
        <w:spacing w:after="60" w:before="60"/>
      </w:pPr>
      <w:r>
        <w:t xml:space="preserve"/>
      </w:r>
    </w:p>
    <w:p>
      <w:r>
        <w:br w:type="page"/>
      </w:r>
    </w:p>
    <w:p>
      <w:pPr>
        <w:pStyle w:val="Heading2"/>
        <w:spacing w:after="140" w:before="300"/>
      </w:pPr>
      <w:r>
        <w:rPr>
          <w:rFonts w:ascii="Arial" w:cs="Arial" w:eastAsia="Arial" w:hAnsi="Arial"/>
          <w:b/>
          <w:bCs/>
          <w:color w:val="2E75B6"/>
          <w:sz w:val="28"/>
          <w:szCs w:val="28"/>
        </w:rPr>
        <w:t xml:space="preserve">7.3 Anomalies Innovation (F2)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900"/>
        <w:gridCol w:w="900"/>
        <w:gridCol w:w="1800"/>
        <w:gridCol w:w="2500"/>
      </w:tblGrid>
      <w:tr>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 Anomalie</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Sév.</w:t>
            </w:r>
          </w:p>
        </w:tc>
        <w:tc>
          <w:tcPr>
            <w:tcW w:type="dxa" w:w="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Pénalité</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Conditions</w:t>
            </w:r>
          </w:p>
        </w:tc>
        <w:tc>
          <w:tcPr>
            <w:tcW w:type="dxa" w:w="25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 économique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ANOM_F2_IN_INNOVATION_SANS_IP</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Innovation</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−8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IN1≥75 ET propriete_intellectuelle=false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Innovation locale forte sans protéction IP : Art.12 Startup Act — la propriété intellectuelle non protégée est indéfendable devant investisseurs.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ANOM_F2_IN_TECH_SANS_MVP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Innovation</w:t>
            </w:r>
          </w:p>
        </w:tc>
        <w:tc>
          <w:tcPr>
            <w:tcW w:type="dxa" w:w="9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ROUGE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−10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IN2≥75 ET mvp_statut=absent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Intensité technologique revendiquée sans aucun MVP : la technologie sans prototype est une intention, pas une innovation.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ANOM_F2_IN_RUPTURE_SANS_BARRIERE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Innovation</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−7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IN4≥75 ET IN3≤20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Innovation de rupture sans barrières à l’entrée : avantage concurrentiel éphémère — copiabilité rapide.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ANOM_F2_IN_BARRIERE_SANS_TECHNO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Innovation</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7F6000"/>
                <w:sz w:val="19"/>
                <w:szCs w:val="19"/>
              </w:rPr>
              <w:t xml:space="preserve">JAUNE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−5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IN3≥75 ET IN2≤20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Barrières à l’entrée fortes mais intensité technologique nulle : barrières non durables, probablement réglementaires ou relationnelles.</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7.4 Anomalies Scalabilité (F2)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900"/>
        <w:gridCol w:w="900"/>
        <w:gridCol w:w="1800"/>
        <w:gridCol w:w="2500"/>
      </w:tblGrid>
      <w:tr>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 Anomalie</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Sév.</w:t>
            </w:r>
          </w:p>
        </w:tc>
        <w:tc>
          <w:tcPr>
            <w:tcW w:type="dxa" w:w="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Pénalité</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Conditions</w:t>
            </w:r>
          </w:p>
        </w:tc>
        <w:tc>
          <w:tcPr>
            <w:tcW w:type="dxa" w:w="25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 économique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ANOM_F2_SC_REPLICABILITE_SANS_REVENU</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Scalability</w:t>
            </w:r>
          </w:p>
        </w:tc>
        <w:tc>
          <w:tcPr>
            <w:tcW w:type="dxa" w:w="9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ROUGE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−10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SC1≥70 ET MS4≤20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Forte réplicabilité revendiquée sans modèle de revenus : scalabilité sans monétisation est une croissance à perte.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ANOM_F2_SC_MENA_ARTISANAL_CAPEX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Global</w:t>
            </w:r>
          </w:p>
        </w:tc>
        <w:tc>
          <w:tcPr>
            <w:tcW w:type="dxa" w:w="9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ROUGE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−20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SC4=MENA ET SC2=artisanal ET SC3=CAPEX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Triangle de l’impossibilité MENA : ambition régionale + modèle artisanal + CAPEX lourd = non finançable (Wamda, BECO, Algebra).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ANOM_F2_SC_GLOBAL_SANS_STRUCTURE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Scalability</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−10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SC4=international ET SC3=CAPEX ET MS4≤20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Expansion internationale projetée sans structure de coûts compatible ni modèle de revenus : plan d’expansion non finançable.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ANOM_F2_SC_MANUEL_SANS_TECH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Scalability</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−8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SC2=artisanal ET IN2≤20 ET SC4≥75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Modèle manuel revendiqué avec ambiçtion scale : sans automatisation, la croissance génère des coûts proportionnels.</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7.5 Anomalies Green / ESG (F2)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900"/>
        <w:gridCol w:w="900"/>
        <w:gridCol w:w="1800"/>
        <w:gridCol w:w="2500"/>
      </w:tblGrid>
      <w:tr>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 Anomalie</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Sév.</w:t>
            </w:r>
          </w:p>
        </w:tc>
        <w:tc>
          <w:tcPr>
            <w:tcW w:type="dxa" w:w="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Pénalité</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Conditions</w:t>
            </w:r>
          </w:p>
        </w:tc>
        <w:tc>
          <w:tcPr>
            <w:tcW w:type="dxa" w:w="25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 économique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ANOM_F2_GS_EAU_SANS_DONNEES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Green</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−10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GS2≥70 ET secteur=Agri ET eau_donnees=false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Impact eau revendiqué en AgriTech sans données : assimilé à du greenwashing par PNUD/GCF/BAD. GHG Protocol requis.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ANOM_F2_GS_CARBONE_SANS_METHODO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Green</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−12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GS1=impact_positif ET methodo_ghg=false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Auto-déclaration carbone sans méthodologie validée : Bilan Carbone ADEME ou GHG Protocol requis pour financements verts.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ANOM_F2_GS_GREEN_CLAIM_SANS_CERTIF</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Green</w:t>
            </w:r>
          </w:p>
        </w:tc>
        <w:tc>
          <w:tcPr>
            <w:tcW w:type="dxa" w:w="9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ROUGE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−15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GS1≥75 ET GS2≥75 ET certif_env=false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Double claim environnemental sans certification : risque greenwashing caractérisé — rejet systématique par les bailleurs verts institutionnels.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ANOM_F2_GS_INDUSTRIE_DECHETS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Green</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7F6000"/>
                <w:sz w:val="19"/>
                <w:szCs w:val="19"/>
              </w:rPr>
              <w:t xml:space="preserve">JAUNE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∢6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secteur=Industrie ET GS4≤20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Secteur industriel avec score déchets très faible : non-conformité probable à la réglementation environnementale tunisienne.</w:t>
            </w:r>
          </w:p>
        </w:tc>
      </w:tr>
    </w:tbl>
    <w:p>
      <w:pPr>
        <w:spacing w:after="60" w:before="60"/>
      </w:pPr>
      <w:r>
        <w:t xml:space="preserve"/>
      </w:r>
    </w:p>
    <w:p>
      <w:r>
        <w:br w:type="page"/>
      </w:r>
    </w:p>
    <w:p>
      <w:pPr>
        <w:pStyle w:val="Heading2"/>
        <w:spacing w:after="140" w:before="300"/>
      </w:pPr>
      <w:r>
        <w:rPr>
          <w:rFonts w:ascii="Arial" w:cs="Arial" w:eastAsia="Arial" w:hAnsi="Arial"/>
          <w:b/>
          <w:bCs/>
          <w:color w:val="2E75B6"/>
          <w:sz w:val="28"/>
          <w:szCs w:val="28"/>
        </w:rPr>
        <w:t xml:space="preserve">7.6 Anomalies Globales / Inter-scores (F2)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900"/>
        <w:gridCol w:w="900"/>
        <w:gridCol w:w="1800"/>
        <w:gridCol w:w="2500"/>
      </w:tblGrid>
      <w:tr>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 Anomalie</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Sév.</w:t>
            </w:r>
          </w:p>
        </w:tc>
        <w:tc>
          <w:tcPr>
            <w:tcW w:type="dxa" w:w="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Pénalité</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Conditions</w:t>
            </w:r>
          </w:p>
        </w:tc>
        <w:tc>
          <w:tcPr>
            <w:tcW w:type="dxa" w:w="25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 économique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ANOM_F2_INTER_INNOVATION_MARKET</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Global</w:t>
            </w:r>
          </w:p>
        </w:tc>
        <w:tc>
          <w:tcPr>
            <w:tcW w:type="dxa" w:w="9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ROUGE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−18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IN1≥75 ET IN2≤75 ET MS3≤20 ET MS4≤20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Innovation forte et technologie avancée sans aucun signal commercial : product-market fit non démontré — recherche, pas business.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ANOM_F2_INTER_SCALE_GREEN_CLASH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Global</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−10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SC1≥75 ET GS1≤20 ET secteur=Industrie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Réplicabilité industrielle massive sans conscience environnementale : contradiction ESG bloquante pour les financements Impact et bailleurs verts.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ANOM_F2_INTER_HIGH_ALL_LOW_ONE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Global</w:t>
            </w:r>
          </w:p>
        </w:tc>
        <w:tc>
          <w:tcPr>
            <w:tcW w:type="dxa" w:w="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ORANGE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−8 pts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 scores≥70 ET 1 score≤20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Profil quasi-parfait avec une dimension critique : signal de masquage ou d’angle mort — la dimension faible doit être examinée en priorité.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ANOM_F2_INTER_COHERENCE_GLOBALE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F4E79"/>
                <w:sz w:val="19"/>
                <w:szCs w:val="19"/>
              </w:rPr>
              <w:t xml:space="preserve">Global</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7F6000"/>
                <w:sz w:val="19"/>
                <w:szCs w:val="19"/>
              </w:rPr>
              <w:t xml:space="preserve">JAUNE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9"/>
                <w:szCs w:val="19"/>
              </w:rPr>
              <w:t xml:space="preserve">∢5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écart-type scores &gt; 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Dispersion extrême des scores : profil à géométrie très irrégulière — bancabilité fragile car dépendante d’une seule dimension.</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8. Catalogue des Blockers</w:t>
      </w:r>
    </w:p>
    <w:p>
      <w:pPr>
        <w:pStyle w:val="Heading2"/>
        <w:spacing w:after="140" w:before="300"/>
      </w:pPr>
      <w:r>
        <w:rPr>
          <w:rFonts w:ascii="Arial" w:cs="Arial" w:eastAsia="Arial" w:hAnsi="Arial"/>
          <w:b/>
          <w:bCs/>
          <w:color w:val="2E75B6"/>
          <w:sz w:val="28"/>
          <w:szCs w:val="28"/>
        </w:rPr>
        <w:t xml:space="preserve">8.1 Définition et rôle</w:t>
      </w:r>
    </w:p>
    <w:p>
      <w:pPr>
        <w:spacing w:after="80" w:before="80"/>
        <w:jc w:val="both"/>
      </w:pPr>
      <w:r>
        <w:rPr>
          <w:rFonts w:ascii="Arial" w:cs="Arial" w:eastAsia="Arial" w:hAnsi="Arial"/>
          <w:b w:val="false"/>
          <w:bCs w:val="false"/>
          <w:color w:val="000000"/>
          <w:sz w:val="22"/>
          <w:szCs w:val="22"/>
        </w:rPr>
        <w:t xml:space="preserve">Les blockers sont des obstacles structurels détectés dans le profil entrepreneur. Contrairement aux anomalies qui pénalisent des dimensions spécifiques, les blockers appliquent la pénalité exponentielle sur le FRI global via exp(−Σλi). Ils sont classifiés en trois niveaux de sévérité.</w:t>
      </w:r>
    </w:p>
    <w:p>
      <w:pPr>
        <w:pStyle w:val="Heading2"/>
        <w:spacing w:after="140" w:before="300"/>
      </w:pPr>
      <w:r>
        <w:rPr>
          <w:rFonts w:ascii="Arial" w:cs="Arial" w:eastAsia="Arial" w:hAnsi="Arial"/>
          <w:b/>
          <w:bCs/>
          <w:color w:val="2E75B6"/>
          <w:sz w:val="28"/>
          <w:szCs w:val="28"/>
        </w:rPr>
        <w:t xml:space="preserve">8.2 Blockers critiques (ROUGE — λ = 0.70)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200"/>
      </w:tblGrid>
      <w:tr>
        <w:tc>
          <w:tcPr>
            <w:tcW w:type="dxa" w:w="3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Domaine</w:t>
            </w:r>
          </w:p>
        </w:tc>
        <w:tc>
          <w:tcPr>
            <w:tcW w:type="dxa" w:w="4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 et source de détection</w:t>
            </w:r>
          </w:p>
        </w:tc>
      </w:tr>
      <w:tr>
        <w:tc>
          <w:tcPr>
            <w:tcW w:type="dxa" w:w="30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left"/>
            </w:pPr>
            <w:r>
              <w:rPr>
                <w:rFonts w:ascii="Arial" w:cs="Arial" w:eastAsia="Arial" w:hAnsi="Arial"/>
                <w:b/>
                <w:bCs/>
                <w:color w:val="C00000"/>
                <w:sz w:val="19"/>
                <w:szCs w:val="19"/>
              </w:rPr>
              <w:t xml:space="preserve">Pas de RNE enregistré</w:t>
            </w:r>
          </w:p>
        </w:tc>
        <w:tc>
          <w:tcPr>
            <w:tcW w:type="dxa" w:w="20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Juridique</w:t>
            </w:r>
          </w:p>
        </w:tc>
        <w:tc>
          <w:tcPr>
            <w:tcW w:type="dxa" w:w="42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Impossible de facturer, recevoir des paiements ou déposer un dossier bancaire. Détecté via profil_complet.rne=false.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C00000"/>
                <w:sz w:val="19"/>
                <w:szCs w:val="19"/>
              </w:rPr>
              <w:t xml:space="preserve">Fondateur seul en Fundraising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Organisationnel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Key-Man Risk rédhibitoire pour SICAR et fonds MENA. Détecté via equipe=solo + stade=Fundraising.</w:t>
            </w:r>
          </w:p>
        </w:tc>
      </w:tr>
      <w:tr>
        <w:tc>
          <w:tcPr>
            <w:tcW w:type="dxa" w:w="30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left"/>
            </w:pPr>
            <w:r>
              <w:rPr>
                <w:rFonts w:ascii="Arial" w:cs="Arial" w:eastAsia="Arial" w:hAnsi="Arial"/>
                <w:b/>
                <w:bCs/>
                <w:color w:val="C00000"/>
                <w:sz w:val="19"/>
                <w:szCs w:val="19"/>
              </w:rPr>
              <w:t xml:space="preserve">Absence de business plan</w:t>
            </w:r>
          </w:p>
        </w:tc>
        <w:tc>
          <w:tcPr>
            <w:tcW w:type="dxa" w:w="20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Financier</w:t>
            </w:r>
          </w:p>
        </w:tc>
        <w:tc>
          <w:tcPr>
            <w:tcW w:type="dxa" w:w="42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Aucun dossier BFPME/bancaire possible sans modélisation financière. Détecté via business_plan=absent.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C00000"/>
                <w:sz w:val="19"/>
                <w:szCs w:val="19"/>
              </w:rPr>
              <w:t xml:space="preserve">Idée non validée par le marché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Commercial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Stade Idéation sans aucune validation terrain. Bloque l’accès à tout programme APII/ANPE.</w:t>
            </w:r>
          </w:p>
        </w:tc>
      </w:tr>
      <w:tr>
        <w:tc>
          <w:tcPr>
            <w:tcW w:type="dxa" w:w="30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left"/>
            </w:pPr>
            <w:r>
              <w:rPr>
                <w:rFonts w:ascii="Arial" w:cs="Arial" w:eastAsia="Arial" w:hAnsi="Arial"/>
                <w:b/>
                <w:bCs/>
                <w:color w:val="C00000"/>
                <w:sz w:val="19"/>
                <w:szCs w:val="19"/>
              </w:rPr>
              <w:t xml:space="preserve">Pas de produit ou service développé</w:t>
            </w:r>
          </w:p>
        </w:tc>
        <w:tc>
          <w:tcPr>
            <w:tcW w:type="dxa" w:w="20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Technique</w:t>
            </w:r>
          </w:p>
        </w:tc>
        <w:tc>
          <w:tcPr>
            <w:tcW w:type="dxa" w:w="42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MVP absent — mvp_statut=absent. Startup Act Art.3 point 4 non satisfait.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C00000"/>
                <w:sz w:val="19"/>
                <w:szCs w:val="19"/>
              </w:rPr>
              <w:t xml:space="preserve">CAPEX lourd sans garantie ni fonds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Financier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SC3=CAPEX + financement=aucun + stade=Idéation : Stiglitz &amp; Weiss — aucune banque tunisienne ne finance ce profil.</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8.3 Blockers majeurs (ORANGE — λ = 0.25)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200"/>
      </w:tblGrid>
      <w:tr>
        <w:tc>
          <w:tcPr>
            <w:tcW w:type="dxa" w:w="3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Domaine</w:t>
            </w:r>
          </w:p>
        </w:tc>
        <w:tc>
          <w:tcPr>
            <w:tcW w:type="dxa" w:w="4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 et source de détection</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bCs/>
                <w:color w:val="C55A11"/>
                <w:sz w:val="19"/>
                <w:szCs w:val="19"/>
              </w:rPr>
              <w:t xml:space="preserve">Absence de certification sanitaire (Agri)</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Réglementaire</w:t>
            </w:r>
          </w:p>
        </w:tc>
        <w:tc>
          <w:tcPr>
            <w:tcW w:type="dxa" w:w="42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Certifications ISO 22000 / HACCP / GlobalG.A.P. requises pour commercialisation agro-alimentaire.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C55A11"/>
                <w:sz w:val="19"/>
                <w:szCs w:val="19"/>
              </w:rPr>
              <w:t xml:space="preserve">Pitch deck absent en phase Fundraising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Commercial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Impossible de présenter le projet aux investisseurs — prérequis absolu pour tout fonds MENA.</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bCs/>
                <w:color w:val="C55A11"/>
                <w:sz w:val="19"/>
                <w:szCs w:val="19"/>
              </w:rPr>
              <w:t xml:space="preserve">Réseau de distribution non établi (Commerce)</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Commercial</w:t>
            </w:r>
          </w:p>
        </w:tc>
        <w:tc>
          <w:tcPr>
            <w:tcW w:type="dxa" w:w="42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Absence de réseau structuré bloque la scalabilité commerciale pour le secteur Commerce.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C55A11"/>
                <w:sz w:val="19"/>
                <w:szCs w:val="19"/>
              </w:rPr>
              <w:t xml:space="preserve">Aucun financement sécurisé — stade avancé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Financier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Projet en Structuration ou Fundraising sans source de financement identifiée (financement=aucun).</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bCs/>
                <w:color w:val="C55A11"/>
                <w:sz w:val="19"/>
                <w:szCs w:val="19"/>
              </w:rPr>
              <w:t xml:space="preserve">Accès foncier absent (Agriculture)</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Opérationnel</w:t>
            </w:r>
          </w:p>
        </w:tc>
        <w:tc>
          <w:tcPr>
            <w:tcW w:type="dxa" w:w="42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Impossible de produire ou d’obtenir crédits BFPME / subventions FODECAP sans accès foncier.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C55A11"/>
                <w:sz w:val="19"/>
                <w:szCs w:val="19"/>
              </w:rPr>
              <w:t xml:space="preserve">Compte devises absent — ambition export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Juridique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SC4=international + compte_devises=false : Art.17 Startup Act non activé — paiements étrangers impossibles.</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8.4 Points de vigilance (JAUNE — λ = 0.10)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200"/>
      </w:tblGrid>
      <w:tr>
        <w:tc>
          <w:tcPr>
            <w:tcW w:type="dxa" w:w="3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Domaine</w:t>
            </w:r>
          </w:p>
        </w:tc>
        <w:tc>
          <w:tcPr>
            <w:tcW w:type="dxa" w:w="4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 et source de détection</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bCs/>
                <w:color w:val="7F6000"/>
                <w:sz w:val="19"/>
                <w:szCs w:val="19"/>
              </w:rPr>
              <w:t xml:space="preserve">Accès foncier — location court terme</w:t>
            </w:r>
          </w:p>
        </w:tc>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Opérationnel</w:t>
            </w:r>
          </w:p>
        </w:tc>
        <w:tc>
          <w:tcPr>
            <w:tcW w:type="dxa" w:w="4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Pour Agriculture : fragilité de la continuité d’exploitation signalable en due diligence.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7F6000"/>
                <w:sz w:val="19"/>
                <w:szCs w:val="19"/>
              </w:rPr>
              <w:t xml:space="preserve">Saisonnalité forte sans plan de trésorerie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Commercial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Revenus concentrés sur quelques mois — volatilité des cash flows signalée aux financeurs.</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bCs/>
                <w:color w:val="7F6000"/>
                <w:sz w:val="19"/>
                <w:szCs w:val="19"/>
              </w:rPr>
              <w:t xml:space="preserve">Certification ISO non obtenue (Industrie)</w:t>
            </w:r>
          </w:p>
        </w:tc>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Réglementaire</w:t>
            </w:r>
          </w:p>
        </w:tc>
        <w:tc>
          <w:tcPr>
            <w:tcW w:type="dxa" w:w="4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certification_iso=absent — limite l’accès aux donneurs d’ordre et marchés publics tunisiens.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7F6000"/>
                <w:sz w:val="19"/>
                <w:szCs w:val="19"/>
              </w:rPr>
              <w:t xml:space="preserve">Propriété intellectuelle non protégée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Juridique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propriete_intellectuelle=false — barrières à l’entrée fragilisées, Art.12 Startup Act non activé.</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bCs/>
                <w:color w:val="7F6000"/>
                <w:sz w:val="19"/>
                <w:szCs w:val="19"/>
              </w:rPr>
              <w:t xml:space="preserve">Chaîne de froid non sécurisée (Agri)</w:t>
            </w:r>
          </w:p>
        </w:tc>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Logistique</w:t>
            </w:r>
          </w:p>
        </w:tc>
        <w:tc>
          <w:tcPr>
            <w:tcW w:type="dxa" w:w="4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chaine_froid=false — risque réglementaire et commercial pour l’agro-alimentaire.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7F6000"/>
                <w:sz w:val="19"/>
                <w:szCs w:val="19"/>
              </w:rPr>
              <w:t xml:space="preserve">Accompagnement nul en phase 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Opérationnel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Absence de mentoring ou incubation — signal négatif pour les labels Startup Act Art.3.</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9. Couche d’Explainabilité</w:t>
      </w:r>
    </w:p>
    <w:p>
      <w:pPr>
        <w:pStyle w:val="Heading2"/>
        <w:spacing w:after="140" w:before="300"/>
      </w:pPr>
      <w:r>
        <w:rPr>
          <w:rFonts w:ascii="Arial" w:cs="Arial" w:eastAsia="Arial" w:hAnsi="Arial"/>
          <w:b/>
          <w:bCs/>
          <w:color w:val="2E75B6"/>
          <w:sz w:val="28"/>
          <w:szCs w:val="28"/>
        </w:rPr>
        <w:t xml:space="preserve">9.1 Principe</w:t>
      </w:r>
    </w:p>
    <w:p>
      <w:pPr>
        <w:spacing w:after="80" w:before="80"/>
        <w:jc w:val="both"/>
      </w:pPr>
      <w:r>
        <w:rPr>
          <w:rFonts w:ascii="Arial" w:cs="Arial" w:eastAsia="Arial" w:hAnsi="Arial"/>
          <w:b w:val="false"/>
          <w:bCs w:val="false"/>
          <w:color w:val="000000"/>
          <w:sz w:val="22"/>
          <w:szCs w:val="22"/>
        </w:rPr>
        <w:t xml:space="preserve">Conformément au spec §2.4.3 et au critère de jugement « Explainability &amp; Scoring Rigour » (15%), chaque score produit est accompagné d’une justification en langage naturel et d’une action corrective concrète. Aucun chiffre n’est produit sans traçabilité vers les données d’entrée.</w:t>
      </w:r>
    </w:p>
    <w:p>
      <w:pPr>
        <w:pStyle w:val="Heading2"/>
        <w:spacing w:after="140" w:before="300"/>
      </w:pPr>
      <w:r>
        <w:rPr>
          <w:rFonts w:ascii="Arial" w:cs="Arial" w:eastAsia="Arial" w:hAnsi="Arial"/>
          <w:b/>
          <w:bCs/>
          <w:color w:val="2E75B6"/>
          <w:sz w:val="28"/>
          <w:szCs w:val="28"/>
        </w:rPr>
        <w:t xml:space="preserve">9.2 Structure de la justification par score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900"/>
      </w:tblGrid>
      <w:tr>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Niveau score</w:t>
            </w:r>
          </w:p>
        </w:tc>
        <w:tc>
          <w:tcPr>
            <w:tcW w:type="dxa" w:w="33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justification_template (extrait)</w:t>
            </w:r>
          </w:p>
        </w:tc>
        <w:tc>
          <w:tcPr>
            <w:tcW w:type="dxa" w:w="3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action_template (extrait)</w:t>
            </w:r>
          </w:p>
        </w:tc>
      </w:tr>
      <w:tr>
        <w:tc>
          <w:tcPr>
            <w:tcW w:type="dxa" w:w="20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tcPr>
          <w:p>
            <w:pPr>
              <w:jc w:val="left"/>
            </w:pPr>
            <w:r>
              <w:rPr>
                <w:rFonts w:ascii="Arial" w:cs="Arial" w:eastAsia="Arial" w:hAnsi="Arial"/>
                <w:b/>
                <w:bCs/>
                <w:color w:val="1E6B3C"/>
                <w:sz w:val="19"/>
                <w:szCs w:val="19"/>
              </w:rPr>
              <w:t xml:space="preserve">≥ 70 (Solide)</w:t>
            </w:r>
          </w:p>
        </w:tc>
        <w:tc>
          <w:tcPr>
            <w:tcW w:type="dxa" w:w="33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Le marché est bien positionné : le critère [fort] ([score]/100) tire le score. Le marché adressable est crédible.</w:t>
            </w:r>
          </w:p>
        </w:tc>
        <w:tc>
          <w:tcPr>
            <w:tcW w:type="dxa" w:w="39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Consolider la documentation de validation client (LOI, contrats) pour renforcer le dossier bancaire.</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bCs/>
                <w:color w:val="7F6000"/>
                <w:sz w:val="19"/>
                <w:szCs w:val="19"/>
              </w:rPr>
              <w:t xml:space="preserve">45–69 (Modéré)</w:t>
            </w:r>
          </w:p>
        </w:tc>
        <w:tc>
          <w:tcPr>
            <w:tcW w:type="dxa" w:w="3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Le marché est partiellement validé. Point faible : [dim] ([score]/100) pénalise la bancabilité.</w:t>
            </w:r>
          </w:p>
        </w:tc>
        <w:tc>
          <w:tcPr>
            <w:tcW w:type="dxa" w:w="3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Priorité : améliorer [dim] — obtenir 3 lettres d’intention clients avant tout dépôt de dossier.</w:t>
            </w:r>
          </w:p>
        </w:tc>
      </w:tr>
      <w:tr>
        <w:tc>
          <w:tcPr>
            <w:tcW w:type="dxa" w:w="20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left"/>
            </w:pPr>
            <w:r>
              <w:rPr>
                <w:rFonts w:ascii="Arial" w:cs="Arial" w:eastAsia="Arial" w:hAnsi="Arial"/>
                <w:b/>
                <w:bCs/>
                <w:color w:val="C00000"/>
                <w:sz w:val="19"/>
                <w:szCs w:val="19"/>
              </w:rPr>
              <w:t xml:space="preserve">&lt; 45 (Critique)</w:t>
            </w:r>
          </w:p>
        </w:tc>
        <w:tc>
          <w:tcPr>
            <w:tcW w:type="dxa" w:w="33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Le Market Score est insuffisant ([score]/100). [dim] ([val]/100) constitue un bloqueur majeur.</w:t>
            </w:r>
          </w:p>
        </w:tc>
        <w:tc>
          <w:tcPr>
            <w:tcW w:type="dxa" w:w="390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ACTION URGENTE : [dim] doit passer au-dessus de 30/100. Sans cela, aucun financement n’est envisageable.</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10. Protocole d’Évaluation</w:t>
      </w:r>
    </w:p>
    <w:p>
      <w:pPr>
        <w:pStyle w:val="Heading2"/>
        <w:spacing w:after="140" w:before="300"/>
      </w:pPr>
      <w:r>
        <w:rPr>
          <w:rFonts w:ascii="Arial" w:cs="Arial" w:eastAsia="Arial" w:hAnsi="Arial"/>
          <w:b/>
          <w:bCs/>
          <w:color w:val="2E75B6"/>
          <w:sz w:val="28"/>
          <w:szCs w:val="28"/>
        </w:rPr>
        <w:t xml:space="preserve">10.1 Métriques retenues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c>
          <w:tcPr>
            <w:tcW w:type="dxa" w:w="2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Métrique</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Valeur obtenue</w:t>
            </w:r>
          </w:p>
        </w:tc>
        <w:tc>
          <w:tcPr>
            <w:tcW w:type="dxa" w:w="4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Overall Pass Rate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100% (14/14)</w:t>
            </w:r>
          </w:p>
        </w:tc>
        <w:tc>
          <w:tcPr>
            <w:tcW w:type="dxa" w:w="4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14 profils labellisés couvrant 5 secteurs — chaque profil vérifie FRI range, is_financeable, hard-cap et anomalies attendues.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Score Consistency (monotonie ordinale)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 OUI</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P13(bas, idx=1)=40 ≤ P11(ref, idx=2)=60 ≤ P12(haut, idx=3)=75 — monotonie stricte validée.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Anomaly Detection Rate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100%</w:t>
            </w:r>
          </w:p>
        </w:tc>
        <w:tc>
          <w:tcPr>
            <w:tcW w:type="dxa" w:w="4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Toutes les anomalies injectées (ANOM_F2_MS, ANOM_F2_SC, ANOM_F1_REGION, ANOM_F1_SOLO, ANOM_F2_GS) détectées.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Hard-Cap 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100%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FRI ≤ 40 systématiquement respecté sur tous les profils avec Market &lt; 30 ou Commercial &lt; 25.</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10.2 Cas de gap perception-réalité documentés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800"/>
      </w:tblGrid>
      <w:tr>
        <w:tc>
          <w:tcPr>
            <w:tcW w:type="dxa" w:w="1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Profil</w:t>
            </w:r>
          </w:p>
        </w:tc>
        <w:tc>
          <w:tcPr>
            <w:tcW w:type="dxa" w:w="2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Stade perçu</w:t>
            </w:r>
          </w:p>
        </w:tc>
        <w:tc>
          <w:tcPr>
            <w:tcW w:type="dxa" w:w="2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Diagnostic réel</w:t>
            </w:r>
          </w:p>
        </w:tc>
        <w:tc>
          <w:tcPr>
            <w:tcW w:type="dxa" w:w="2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 bloquante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P01 (ENT-DBD323)</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C55A11"/>
                <w:sz w:val="19"/>
                <w:szCs w:val="19"/>
              </w:rPr>
              <w:t xml:space="preserve">Growth</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C00000"/>
                <w:sz w:val="19"/>
                <w:szCs w:val="19"/>
              </w:rPr>
              <w:t xml:space="preserve">Structuration (score diag=32)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Market 17,3 + équipe solo + business plan absent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P05 (Tech)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C55A11"/>
                <w:sz w:val="19"/>
                <w:szCs w:val="19"/>
              </w:rPr>
              <w:t xml:space="preserve">Prêt pour financement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C00000"/>
                <w:sz w:val="19"/>
                <w:szCs w:val="19"/>
              </w:rPr>
              <w:t xml:space="preserve">Pré-financement impossible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Traction haute (MS3=90) mais modèle revenu nul (MS4=10) — ANOM_F2_MS_TRACTION_SANS_REVENU</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P06 (Tech)</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C55A11"/>
                <w:sz w:val="19"/>
                <w:szCs w:val="19"/>
              </w:rPr>
              <w:t xml:space="preserve">Scalable global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C00000"/>
                <w:sz w:val="19"/>
                <w:szCs w:val="19"/>
              </w:rPr>
              <w:t xml:space="preserve">Non bancable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SC1=90 sans MS4 → ANOM_F2_SC_REPLICABILITE_SANS_REVENU + hard-cap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P09 (Agri)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C55A11"/>
                <w:sz w:val="19"/>
                <w:szCs w:val="19"/>
              </w:rPr>
              <w:t xml:space="preserve">Prêt pour export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C00000"/>
                <w:sz w:val="19"/>
                <w:szCs w:val="19"/>
              </w:rPr>
              <w:t xml:space="preserve">Non bancable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ANOM_F1_EXPORT_SANS_DEVISES + ANOM_F1_AGRI_SANS_CERTIFICATION</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11. Résumé des Décisions de Modélisation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Décision</w:t>
            </w:r>
          </w:p>
        </w:tc>
        <w:tc>
          <w:tcPr>
            <w:tcW w:type="dxa" w:w="57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AHP plutôt que moyenne</w:t>
            </w:r>
          </w:p>
        </w:tc>
        <w:tc>
          <w:tcPr>
            <w:tcW w:type="dxa" w:w="5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Permet de différencier l’importance des critères et de détecter les masquages — exigence explicite du spec §2.4.5.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Échelle [10,40,60,75,90] non-linéaire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Les profils faibles (index 0,1) sont fortement pénalisés : un projet à index 0 sur Market ne peut obtenir de crédit quel que soit son score ailleurs.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Pénalité exponentielle des blockers</w:t>
            </w:r>
          </w:p>
        </w:tc>
        <w:tc>
          <w:tcPr>
            <w:tcW w:type="dxa" w:w="5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Inspirée de Stiglitz &amp; Weiss (1981) : les blockers s’accumulent de façon non-additive. Deux bloqueurs rouges signalent une incapacité systémique.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Hard-cap Market &lt; 30 et Commercial &lt; 25</w:t>
            </w:r>
          </w:p>
        </w:tc>
        <w:tc>
          <w:tcPr>
            <w:tcW w:type="dxa" w:w="5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Règles métier non négociables : aucune institution financière tunisienne ne finance un projet sans marché ni offre définis.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Anomalies F1 séparées des anomalies F2</w:t>
            </w:r>
          </w:p>
        </w:tc>
        <w:tc>
          <w:tcPr>
            <w:tcW w:type="dxa" w:w="5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La séparation Feature 1 / Feature 2 permet une traçabilité fine : les anomalies F1 détectent les incohérences de profil, les F2 les incohérences de scoring.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Matrices AHP par paires publiées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Chaque matrice est auditables indépendamment (CR calculé et affiché). Cela garantit la reproductibilité et l’explicabilité devant jury.</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19"/>
                <w:szCs w:val="19"/>
              </w:rPr>
              <w:t xml:space="preserve">Ajustements sectoriels additifs renormalisés</w:t>
            </w:r>
          </w:p>
        </w:tc>
        <w:tc>
          <w:tcPr>
            <w:tcW w:type="dxa" w:w="5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Adaptation au contexte sectoriel sans modifier l’architecture AHP globale. Les poids somment toujours à 1 après renormalisation.</w:t>
            </w:r>
          </w:p>
        </w:tc>
      </w:tr>
    </w:tbl>
    <w:p>
      <w:pPr>
        <w:spacing w:after="60" w:before="60"/>
      </w:pPr>
      <w:r>
        <w:t xml:space="preserve"/>
      </w:r>
    </w:p>
    <w:p>
      <w:pPr>
        <w:spacing w:after="60" w:before="60"/>
      </w:pPr>
      <w:r>
        <w:t xml:space="preserve"/>
      </w:r>
    </w:p>
    <w:p>
      <w:pPr>
        <w:spacing w:after="80" w:before="200"/>
        <w:jc w:val="center"/>
      </w:pPr>
      <w:r>
        <w:rPr>
          <w:rFonts w:ascii="Arial" w:cs="Arial" w:eastAsia="Arial" w:hAnsi="Arial"/>
          <w:color w:val="595959"/>
          <w:sz w:val="20"/>
          <w:szCs w:val="20"/>
        </w:rPr>
        <w:t xml:space="preserve">— Fin du document —</w:t>
      </w:r>
    </w:p>
    <w:p>
      <w:pPr>
        <w:spacing w:after="60" w:before="60"/>
        <w:jc w:val="center"/>
      </w:pPr>
      <w:r>
        <w:rPr>
          <w:rFonts w:ascii="Arial" w:cs="Arial" w:eastAsia="Arial" w:hAnsi="Arial"/>
          <w:color w:val="595959"/>
          <w:sz w:val="18"/>
          <w:szCs w:val="18"/>
        </w:rPr>
        <w:t xml:space="preserve">AINS Hackathon 2026 — Feature 2 Scoring Methodology Document — Version 2.0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2026-06-22T12:00:05.932Z</dcterms:created>
  <dcterms:modified xsi:type="dcterms:W3CDTF">2026-06-22T12:00:05.933Z</dcterms:modified>
</cp:coreProperties>
</file>

<file path=docProps/custom.xml><?xml version="1.0" encoding="utf-8"?>
<Properties xmlns="http://schemas.openxmlformats.org/officeDocument/2006/custom-properties" xmlns:vt="http://schemas.openxmlformats.org/officeDocument/2006/docPropsVTypes"/>
</file>