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NovaStack Technologies - Enterprise AI platform (Series A)</w:t>
      </w:r>
    </w:p>
    <w:p>
      <w:pPr>
        <w:pStyle w:val="Heading2"/>
      </w:pPr>
      <w: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NovaStack is an enterprise AI platform with 22M USD in annualized revenue growing 30 percent month over month. Raising a 15M USD Series A at a 120M USD valuation.</w:t>
      </w:r>
    </w:p>
    <w:p>
      <w:pPr>
        <w:pStyle w:val="Heading2"/>
      </w:pPr>
      <w:r>
        <w:t xml:space="preserve">Problem</w:t>
      </w:r>
    </w:p>
    <w:p>
      <w:pPr>
        <w:spacing w:after="120"/>
      </w:pPr>
      <w:r>
        <w:rPr>
          <w:sz w:val="22"/>
          <w:szCs w:val="22"/>
        </w:rPr>
        <w:t xml:space="preserve">Enterprises struggle to deploy AI at scale.</w:t>
      </w:r>
    </w:p>
    <w:p>
      <w:pPr>
        <w:pStyle w:val="Heading2"/>
      </w:pPr>
      <w:r>
        <w:t xml:space="preserve">Market</w:t>
      </w:r>
    </w:p>
    <w:p>
      <w:pPr>
        <w:spacing w:after="120"/>
      </w:pPr>
      <w:r>
        <w:rPr>
          <w:sz w:val="22"/>
          <w:szCs w:val="22"/>
        </w:rPr>
        <w:t xml:space="preserve">Our customers include 9 enterprise clients, including two Fortune 500 companies. Company logos appear on our website; customer references are not available because of confidentiality.</w:t>
      </w:r>
    </w:p>
    <w:p>
      <w:pPr>
        <w:pStyle w:val="Heading2"/>
      </w:pPr>
      <w:r>
        <w:t xml:space="preserve">Business Model</w:t>
      </w:r>
    </w:p>
    <w:p>
      <w:pPr>
        <w:spacing w:after="120"/>
      </w:pPr>
      <w:r>
        <w:rPr>
          <w:sz w:val="22"/>
          <w:szCs w:val="22"/>
        </w:rPr>
        <w:t xml:space="preserve">Enterprise subscriptions. Seven of our nine customers are companies owned by or affiliated with our board members and pay us through a related holding company, which provides us with a credit line that funds their subscription payments. Revenue is recognized when invoices are issued, regardless of collection.</w:t>
      </w:r>
    </w:p>
    <w:p>
      <w:pPr>
        <w:pStyle w:val="Heading2"/>
      </w:pPr>
      <w:r>
        <w:t xml:space="preserve">Financials &amp; Funding Ask</w:t>
      </w:r>
    </w:p>
    <w:p>
      <w:pPr>
        <w:spacing w:after="120"/>
      </w:pPr>
      <w:r>
        <w:rPr>
          <w:sz w:val="22"/>
          <w:szCs w:val="22"/>
        </w:rPr>
        <w:t xml:space="preserve">Bank statements cannot be shared as we use a private fintech account. Financials were prepared by the founder and have not been reviewed by an accountant. Cash on hand is stated as 6M USD (screenshot attached; the screenshot has a different currency and account name from the company's legal name). Headcount is reported as 85; the company has 11 employees on payroll records. The product demo is a recorded video.</w:t>
      </w:r>
    </w:p>
    <w:p>
      <w:pPr>
        <w:pStyle w:val="Heading2"/>
      </w:pPr>
      <w:r>
        <w:t xml:space="preserve">Team</w:t>
      </w:r>
    </w:p>
    <w:p>
      <w:pPr>
        <w:spacing w:after="120"/>
      </w:pPr>
      <w:r>
        <w:rPr>
          <w:sz w:val="22"/>
          <w:szCs w:val="22"/>
        </w:rPr>
        <w:t xml:space="preserve">CEO's LinkedIn lists a degree from a university with no record of the person; the CTO name matches an individual who is publicly identified as a different person's identity. Previous startup exits are described but cannot be verified.</w:t>
      </w:r>
    </w:p>
    <w:p>
      <w:pPr>
        <w:pStyle w:val="Heading2"/>
      </w:pPr>
      <w:r>
        <w:t xml:space="preserve">Risks</w:t>
      </w:r>
    </w:p>
    <w:p>
      <w:pPr>
        <w:spacing w:after="120"/>
      </w:pPr>
      <w:r>
        <w:rPr>
          <w:sz w:val="22"/>
          <w:szCs w:val="22"/>
        </w:rPr>
        <w:t xml:space="preserve">No risk is anticipated. Investors must commit before the competing term sheet expires in 48 hours.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Arial" w:cs="Arial" w:eastAsia="Arial" w:hAnsi="Arial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2026-10-11T10:02:20.046Z</dcterms:created>
  <dcterms:modified xsi:type="dcterms:W3CDTF">2026-10-11T10:02:20.046Z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