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Franchise Express : devenez propriétaire de votre point de vente</w:t>
      </w:r>
    </w:p>
    <w:p>
      <w:pPr>
        <w:pStyle w:val="Heading1"/>
      </w:pPr>
      <w:r>
        <w:t>Présentation</w:t>
      </w:r>
    </w:p>
    <w:p>
      <w:r>
        <w:t>Franchise Express propose des kiosques de recharge et de services de proximité en franchise. Nos franchisés gagnent en moyenne 4 500 TND nets par mois dès le troisième mois, sans expérience préalable.</w:t>
      </w:r>
    </w:p>
    <w:p>
      <w:pPr>
        <w:pStyle w:val="Heading1"/>
      </w:pPr>
      <w:r>
        <w:t>Modèle économique</w:t>
      </w:r>
    </w:p>
    <w:p>
      <w:r>
        <w:t>Le droit d'entrée est de 18 000 TND, payable à la signature. Le franchisé achète obligatoirement son stock, son mobilier et ses uniformes auprès de notre société sœur, Express Supply. Notre revenu provient des droits d'entrée et des achats obligatoires des franchisés.</w:t>
      </w:r>
    </w:p>
    <w:p>
      <w:pPr>
        <w:pStyle w:val="Heading1"/>
      </w:pPr>
      <w:r>
        <w:t>Résultats</w:t>
      </w:r>
    </w:p>
    <w:p>
      <w:r>
        <w:t>41 franchisés ont signé depuis janvier; 3 kiosques sont actuellement ouverts, les autres ouvriront bientôt. Témoignage : « J'ai récupéré mon investissement en six semaines », Mme S., franchisée.</w:t>
      </w:r>
    </w:p>
    <w:p>
      <w:pPr>
        <w:pStyle w:val="Heading1"/>
      </w:pPr>
      <w:r>
        <w:t>Documents</w:t>
      </w:r>
    </w:p>
    <w:p>
      <w:r>
        <w:t>Le document d'information précontractuel et les comptes des kiosques existants peuvent être consultés après signature du contrat et versement du droit d'entrée. Les 18 000 TND sont remboursables seulement si le franchisé a respecté chaque obligation du manuel, dont la liste complète est remise après signature.</w:t>
      </w:r>
    </w:p>
    <w:p>
      <w:pPr>
        <w:pStyle w:val="Heading1"/>
      </w:pPr>
      <w:r>
        <w:t>Offre actuelle</w:t>
      </w:r>
    </w:p>
    <w:p>
      <w:r>
        <w:t>Pour les dix prochains candidats, le droit d'entrée est ramené à 12 000 TND si le contrat est signé dans les 48 heures. Notre équipe commerciale vous rappellera aujourd'hui.</w:t>
      </w:r>
    </w:p>
    <w:p>
      <w:pPr>
        <w:pStyle w:val="Heading1"/>
      </w:pPr>
      <w:r>
        <w:t>Prévisions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Année 1</w:t>
            </w:r>
          </w:p>
        </w:tc>
        <w:tc>
          <w:tcPr>
            <w:tcW w:type="dxa" w:w="2160"/>
          </w:tcPr>
          <w:p>
            <w:r>
              <w:t>Année 2</w:t>
            </w:r>
          </w:p>
        </w:tc>
        <w:tc>
          <w:tcPr>
            <w:tcW w:type="dxa" w:w="2160"/>
          </w:tcPr>
          <w:p>
            <w:r>
              <w:t>Année 3</w:t>
            </w:r>
          </w:p>
        </w:tc>
      </w:tr>
      <w:tr>
        <w:tc>
          <w:tcPr>
            <w:tcW w:type="dxa" w:w="2160"/>
          </w:tcPr>
          <w:p>
            <w:r>
              <w:t>Chiffre d'affaires</w:t>
            </w:r>
          </w:p>
        </w:tc>
        <w:tc>
          <w:tcPr>
            <w:tcW w:type="dxa" w:w="2160"/>
          </w:tcPr>
          <w:p>
            <w:r>
              <w:t>900 000</w:t>
            </w:r>
          </w:p>
        </w:tc>
        <w:tc>
          <w:tcPr>
            <w:tcW w:type="dxa" w:w="2160"/>
          </w:tcPr>
          <w:p>
            <w:r>
              <w:t>2 400 000</w:t>
            </w:r>
          </w:p>
        </w:tc>
        <w:tc>
          <w:tcPr>
            <w:tcW w:type="dxa" w:w="2160"/>
          </w:tcPr>
          <w:p>
            <w:r>
              <w:t>5 000 000</w:t>
            </w:r>
          </w:p>
        </w:tc>
      </w:tr>
      <w:tr>
        <w:tc>
          <w:tcPr>
            <w:tcW w:type="dxa" w:w="2160"/>
          </w:tcPr>
          <w:p>
            <w:r>
              <w:t>Achats consommés</w:t>
            </w:r>
          </w:p>
        </w:tc>
        <w:tc>
          <w:tcPr>
            <w:tcW w:type="dxa" w:w="2160"/>
          </w:tcPr>
          <w:p>
            <w:r>
              <w:t>360 000</w:t>
            </w:r>
          </w:p>
        </w:tc>
        <w:tc>
          <w:tcPr>
            <w:tcW w:type="dxa" w:w="2160"/>
          </w:tcPr>
          <w:p>
            <w:r>
              <w:t>960 000</w:t>
            </w:r>
          </w:p>
        </w:tc>
        <w:tc>
          <w:tcPr>
            <w:tcW w:type="dxa" w:w="2160"/>
          </w:tcPr>
          <w:p>
            <w:r>
              <w:t>2 000 000</w:t>
            </w:r>
          </w:p>
        </w:tc>
      </w:tr>
      <w:tr>
        <w:tc>
          <w:tcPr>
            <w:tcW w:type="dxa" w:w="2160"/>
          </w:tcPr>
          <w:p>
            <w:r>
              <w:t>Charges de personnel</w:t>
            </w:r>
          </w:p>
        </w:tc>
        <w:tc>
          <w:tcPr>
            <w:tcW w:type="dxa" w:w="2160"/>
          </w:tcPr>
          <w:p>
            <w:r>
              <w:t>90 000</w:t>
            </w:r>
          </w:p>
        </w:tc>
        <w:tc>
          <w:tcPr>
            <w:tcW w:type="dxa" w:w="2160"/>
          </w:tcPr>
          <w:p>
            <w:r>
              <w:t>180 000</w:t>
            </w:r>
          </w:p>
        </w:tc>
        <w:tc>
          <w:tcPr>
            <w:tcW w:type="dxa" w:w="2160"/>
          </w:tcPr>
          <w:p>
            <w:r>
              <w:t>300 000</w:t>
            </w:r>
          </w:p>
        </w:tc>
      </w:tr>
      <w:tr>
        <w:tc>
          <w:tcPr>
            <w:tcW w:type="dxa" w:w="2160"/>
          </w:tcPr>
          <w:p>
            <w:r>
              <w:t>Autres charges d'exploitation</w:t>
            </w:r>
          </w:p>
        </w:tc>
        <w:tc>
          <w:tcPr>
            <w:tcW w:type="dxa" w:w="2160"/>
          </w:tcPr>
          <w:p>
            <w:r>
              <w:t>50 000</w:t>
            </w:r>
          </w:p>
        </w:tc>
        <w:tc>
          <w:tcPr>
            <w:tcW w:type="dxa" w:w="2160"/>
          </w:tcPr>
          <w:p>
            <w:r>
              <w:t>80 000</w:t>
            </w:r>
          </w:p>
        </w:tc>
        <w:tc>
          <w:tcPr>
            <w:tcW w:type="dxa" w:w="2160"/>
          </w:tcPr>
          <w:p>
            <w:r>
              <w:t>120 000</w:t>
            </w:r>
          </w:p>
        </w:tc>
      </w:tr>
      <w:tr>
        <w:tc>
          <w:tcPr>
            <w:tcW w:type="dxa" w:w="2160"/>
          </w:tcPr>
          <w:p>
            <w:r>
              <w:t>Dotations aux amortissements</w:t>
            </w:r>
          </w:p>
        </w:tc>
        <w:tc>
          <w:tcPr>
            <w:tcW w:type="dxa" w:w="2160"/>
          </w:tcPr>
          <w:p>
            <w:r>
              <w:t>10 000</w:t>
            </w:r>
          </w:p>
        </w:tc>
        <w:tc>
          <w:tcPr>
            <w:tcW w:type="dxa" w:w="2160"/>
          </w:tcPr>
          <w:p>
            <w:r>
              <w:t>10 000</w:t>
            </w:r>
          </w:p>
        </w:tc>
        <w:tc>
          <w:tcPr>
            <w:tcW w:type="dxa" w:w="2160"/>
          </w:tcPr>
          <w:p>
            <w:r>
              <w:t>10 000</w:t>
            </w:r>
          </w:p>
        </w:tc>
      </w:tr>
      <w:tr>
        <w:tc>
          <w:tcPr>
            <w:tcW w:type="dxa" w:w="2160"/>
          </w:tcPr>
          <w:p>
            <w:r>
              <w:t>Charges financières</w:t>
            </w:r>
          </w:p>
        </w:tc>
        <w:tc>
          <w:tcPr>
            <w:tcW w:type="dxa" w:w="2160"/>
          </w:tcPr>
          <w:p>
            <w:r>
              <w:t>0</w:t>
            </w:r>
          </w:p>
        </w:tc>
        <w:tc>
          <w:tcPr>
            <w:tcW w:type="dxa" w:w="2160"/>
          </w:tcPr>
          <w:p>
            <w:r>
              <w:t>0</w:t>
            </w:r>
          </w:p>
        </w:tc>
        <w:tc>
          <w:tcPr>
            <w:tcW w:type="dxa" w:w="2160"/>
          </w:tcPr>
          <w:p>
            <w:r>
              <w:t>0</w:t>
            </w:r>
          </w:p>
        </w:tc>
      </w:tr>
      <w:tr>
        <w:tc>
          <w:tcPr>
            <w:tcW w:type="dxa" w:w="2160"/>
          </w:tcPr>
          <w:p>
            <w:r>
              <w:t>Impôt sur les sociétés</w:t>
            </w:r>
          </w:p>
        </w:tc>
        <w:tc>
          <w:tcPr>
            <w:tcW w:type="dxa" w:w="2160"/>
          </w:tcPr>
          <w:p>
            <w:r>
              <w:t>78 000</w:t>
            </w:r>
          </w:p>
        </w:tc>
        <w:tc>
          <w:tcPr>
            <w:tcW w:type="dxa" w:w="2160"/>
          </w:tcPr>
          <w:p>
            <w:r>
              <w:t>234 000</w:t>
            </w:r>
          </w:p>
        </w:tc>
        <w:tc>
          <w:tcPr>
            <w:tcW w:type="dxa" w:w="2160"/>
          </w:tcPr>
          <w:p>
            <w:r>
              <w:t>514 000</w:t>
            </w:r>
          </w:p>
        </w:tc>
      </w:tr>
      <w:tr>
        <w:tc>
          <w:tcPr>
            <w:tcW w:type="dxa" w:w="2160"/>
          </w:tcPr>
          <w:p>
            <w:r>
              <w:t>Résultat net</w:t>
            </w:r>
          </w:p>
        </w:tc>
        <w:tc>
          <w:tcPr>
            <w:tcW w:type="dxa" w:w="2160"/>
          </w:tcPr>
          <w:p>
            <w:r>
              <w:t>312 000</w:t>
            </w:r>
          </w:p>
        </w:tc>
        <w:tc>
          <w:tcPr>
            <w:tcW w:type="dxa" w:w="2160"/>
          </w:tcPr>
          <w:p>
            <w:r>
              <w:t>936 000</w:t>
            </w:r>
          </w:p>
        </w:tc>
        <w:tc>
          <w:tcPr>
            <w:tcW w:type="dxa" w:w="2160"/>
          </w:tcPr>
          <w:p>
            <w:r>
              <w:t>2 056 000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