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Huilerie Zeitouna : conditionnement d'huile d'olive extra vierge (Sfax)</w:t>
      </w:r>
    </w:p>
    <w:p>
      <w:pPr>
        <w:pStyle w:val="Heading1"/>
      </w:pPr>
      <w:r>
        <w:t>Présentation du projet</w:t>
      </w:r>
    </w:p>
    <w:p>
      <w:r>
        <w:t>Zeitouna SARL conditionne et vend de l'huile d'olive extra vierge en bouteilles de 0,5 l et 1 l et en bidons de 5 l. Nous achetons l'huile en vrac à six producteurs de la région de Sfax avec lesquels nous avons déjà signé des lettres d'intention pour la prochaine campagne. Le projet demande un investissement de 220 000 TND, financé à 50 % par un crédit bancaire.</w:t>
      </w:r>
    </w:p>
    <w:p>
      <w:pPr>
        <w:pStyle w:val="Heading1"/>
      </w:pPr>
      <w:r>
        <w:t>Les promoteurs</w:t>
      </w:r>
    </w:p>
    <w:p>
      <w:r>
        <w:t>Karim B., 41 ans, ingénieur agronome, a dirigé pendant neuf ans le service qualité d'un grand exportateur d'huile d'olive à Sfax. Il dirige l'entreprise et gère les achats. Salma T., 36 ans, diplômée en gestion, a occupé quatre ans le poste de responsable commerciale dans une chaîne de grandes surfaces; elle gère la vente et la distribution. Les deux associés apportent 70 000 TND de leurs fonds propres.</w:t>
      </w:r>
    </w:p>
    <w:p>
      <w:pPr>
        <w:pStyle w:val="Heading1"/>
      </w:pPr>
      <w:r>
        <w:t>Étude de marché</w:t>
      </w:r>
    </w:p>
    <w:p>
      <w:r>
        <w:t>Nous visons trois segments : les grandes et moyennes surfaces du Grand Sfax, les épiceries fines et les restaurants, et les particuliers par la vente directe. Nous avons visité 38 points de vente et interrogé 120 consommateurs en sortie de magasin en mars; 64 % achètent déjà de l'huile conditionnée de marque, 22 % achètent en vrac. Le prix moyen constaté pour le litre d'extra vierge conditionné est de 22 TND. Les concurrents directs sont deux conditionneurs régionaux, Huilerie El Wafa et Dar Zitoun, dont les prix sont de 21 à 24 TND le litre. Notre différence tient à la traçabilité par lot (le producteur et la date de pressage figurent sur l'étiquette) et à l'analyse d'acidité publiée pour chaque lot.</w:t>
      </w:r>
    </w:p>
    <w:p>
      <w:pPr>
        <w:pStyle w:val="Heading1"/>
      </w:pPr>
      <w:r>
        <w:t>Plan marketing et commercial</w:t>
      </w:r>
    </w:p>
    <w:p>
      <w:r>
        <w:t>Prix : 23 TND le litre en grande surface, 20 TND pour les restaurateurs sur contrat annuel. Canaux : contrats avec trois enseignes régionales (discussions avancées avec deux d'entre elles), une boutique en ligne simple, et des salons agroalimentaires. L'objectif de la première année est de vendre 7 800 litres, soit 650 litres par mois, ce qui représente moins de 3 % de la capacité de notre ligne.</w:t>
      </w:r>
    </w:p>
    <w:p>
      <w:pPr>
        <w:pStyle w:val="Heading1"/>
      </w:pPr>
      <w:r>
        <w:t>Moyens de production</w:t>
      </w:r>
    </w:p>
    <w:p>
      <w:r>
        <w:t>Une ligne de conditionnement semi-automatique (remplissage, bouchage, étiquetage) d'une capacité de 400 bouteilles à l'heure, achetée auprès d'un fournisseur italien dont nous avons le devis, et un local de 180 m² loué à Sfax pour 1 400 TND par mois. Les achats d'huile en vrac se font à environ 12 TND le litre; nous stockons dans des cuves inox pour le contrôle de la température.</w:t>
      </w:r>
    </w:p>
    <w:p>
      <w:pPr>
        <w:pStyle w:val="Heading1"/>
      </w:pPr>
      <w:r>
        <w:t>Ressources humaines</w:t>
      </w:r>
    </w:p>
    <w:p>
      <w:r>
        <w:t>Quatre personnes au démarrage : les deux associés, un opérateur de ligne et un agent logistique à temps partiel. Salaire brut moyen de 1 100 TND par mois. La masse salariale de la première année, charges sociales comprises, est de 36 000 TND.</w:t>
      </w:r>
    </w:p>
    <w:p>
      <w:pPr>
        <w:pStyle w:val="Heading1"/>
      </w:pPr>
      <w:r>
        <w:t>Plan d'investissement et de financement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Emplois</w:t>
            </w:r>
          </w:p>
        </w:tc>
        <w:tc>
          <w:tcPr>
            <w:tcW w:type="dxa" w:w="2160"/>
          </w:tcPr>
          <w:p>
            <w:r>
              <w:t>Montant (TND)</w:t>
            </w:r>
          </w:p>
        </w:tc>
        <w:tc>
          <w:tcPr>
            <w:tcW w:type="dxa" w:w="2160"/>
          </w:tcPr>
          <w:p>
            <w:r>
              <w:t>Ressources</w:t>
            </w:r>
          </w:p>
        </w:tc>
        <w:tc>
          <w:tcPr>
            <w:tcW w:type="dxa" w:w="2160"/>
          </w:tcPr>
          <w:p>
            <w:r>
              <w:t>Montant (TND)</w:t>
            </w:r>
          </w:p>
        </w:tc>
      </w:tr>
      <w:tr>
        <w:tc>
          <w:tcPr>
            <w:tcW w:type="dxa" w:w="2160"/>
          </w:tcPr>
          <w:p>
            <w:r>
              <w:t>Équipement de conditionnement</w:t>
            </w:r>
          </w:p>
        </w:tc>
        <w:tc>
          <w:tcPr>
            <w:tcW w:type="dxa" w:w="2160"/>
          </w:tcPr>
          <w:p>
            <w:r>
              <w:t>120 000</w:t>
            </w:r>
          </w:p>
        </w:tc>
        <w:tc>
          <w:tcPr>
            <w:tcW w:type="dxa" w:w="2160"/>
          </w:tcPr>
          <w:p>
            <w:r>
              <w:t>Fonds propres des associés</w:t>
            </w:r>
          </w:p>
        </w:tc>
        <w:tc>
          <w:tcPr>
            <w:tcW w:type="dxa" w:w="2160"/>
          </w:tcPr>
          <w:p>
            <w:r>
              <w:t>70 000</w:t>
            </w:r>
          </w:p>
        </w:tc>
      </w:tr>
      <w:tr>
        <w:tc>
          <w:tcPr>
            <w:tcW w:type="dxa" w:w="2160"/>
          </w:tcPr>
          <w:p>
            <w:r>
              <w:t>Aménagement du local</w:t>
            </w:r>
          </w:p>
        </w:tc>
        <w:tc>
          <w:tcPr>
            <w:tcW w:type="dxa" w:w="2160"/>
          </w:tcPr>
          <w:p>
            <w:r>
              <w:t>35 000</w:t>
            </w:r>
          </w:p>
        </w:tc>
        <w:tc>
          <w:tcPr>
            <w:tcW w:type="dxa" w:w="2160"/>
          </w:tcPr>
          <w:p>
            <w:r>
              <w:t>Crédit bancaire (5 ans, taux 9,5 %)</w:t>
            </w:r>
          </w:p>
        </w:tc>
        <w:tc>
          <w:tcPr>
            <w:tcW w:type="dxa" w:w="2160"/>
          </w:tcPr>
          <w:p>
            <w:r>
              <w:t>110 000</w:t>
            </w:r>
          </w:p>
        </w:tc>
      </w:tr>
      <w:tr>
        <w:tc>
          <w:tcPr>
            <w:tcW w:type="dxa" w:w="2160"/>
          </w:tcPr>
          <w:p>
            <w:r>
              <w:t>Stock initial et fonds de roulement</w:t>
            </w:r>
          </w:p>
        </w:tc>
        <w:tc>
          <w:tcPr>
            <w:tcW w:type="dxa" w:w="2160"/>
          </w:tcPr>
          <w:p>
            <w:r>
              <w:t>45 000</w:t>
            </w:r>
          </w:p>
        </w:tc>
        <w:tc>
          <w:tcPr>
            <w:tcW w:type="dxa" w:w="2160"/>
          </w:tcPr>
          <w:p>
            <w:r>
              <w:t>Prime d'investissement sollicitée</w:t>
            </w:r>
          </w:p>
        </w:tc>
        <w:tc>
          <w:tcPr>
            <w:tcW w:type="dxa" w:w="2160"/>
          </w:tcPr>
          <w:p>
            <w:r>
              <w:t>40 000</w:t>
            </w:r>
          </w:p>
        </w:tc>
      </w:tr>
      <w:tr>
        <w:tc>
          <w:tcPr>
            <w:tcW w:type="dxa" w:w="2160"/>
          </w:tcPr>
          <w:p>
            <w:r>
              <w:t>Lancement commercial</w:t>
            </w:r>
          </w:p>
        </w:tc>
        <w:tc>
          <w:tcPr>
            <w:tcW w:type="dxa" w:w="2160"/>
          </w:tcPr>
          <w:p>
            <w:r>
              <w:t>20 000</w:t>
            </w:r>
          </w:p>
        </w:tc>
        <w:tc>
          <w:tcPr>
            <w:tcW w:type="dxa" w:w="2160"/>
          </w:tcPr>
          <w:p>
            <w:r/>
          </w:p>
        </w:tc>
        <w:tc>
          <w:tcPr>
            <w:tcW w:type="dxa" w:w="2160"/>
          </w:tcPr>
          <w:p>
            <w:r/>
          </w:p>
        </w:tc>
      </w:tr>
      <w:tr>
        <w:tc>
          <w:tcPr>
            <w:tcW w:type="dxa" w:w="2160"/>
          </w:tcPr>
          <w:p>
            <w:r>
              <w:t>Total emplois</w:t>
            </w:r>
          </w:p>
        </w:tc>
        <w:tc>
          <w:tcPr>
            <w:tcW w:type="dxa" w:w="2160"/>
          </w:tcPr>
          <w:p>
            <w:r>
              <w:t>220 000</w:t>
            </w:r>
          </w:p>
        </w:tc>
        <w:tc>
          <w:tcPr>
            <w:tcW w:type="dxa" w:w="2160"/>
          </w:tcPr>
          <w:p>
            <w:r>
              <w:t>Total ressources</w:t>
            </w:r>
          </w:p>
        </w:tc>
        <w:tc>
          <w:tcPr>
            <w:tcW w:type="dxa" w:w="2160"/>
          </w:tcPr>
          <w:p>
            <w:r>
              <w:t>220 000</w:t>
            </w:r>
          </w:p>
        </w:tc>
      </w:tr>
    </w:tbl>
    <w:p/>
    <w:p>
      <w:pPr>
        <w:pStyle w:val="Heading1"/>
      </w:pPr>
      <w:r>
        <w:t>Prévisions financières</w:t>
      </w:r>
    </w:p>
    <w:p>
      <w:r>
        <w:t>Hypothèses : volume de 15 000 litres l'année 2 et 20 000 litres l'année 3, prix moyen stable. Les achats représentent environ 54 % du chiffre d'affaires. Le crédit est remboursé après un différé d'un an.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t>Année 1</w:t>
            </w:r>
          </w:p>
        </w:tc>
        <w:tc>
          <w:tcPr>
            <w:tcW w:type="dxa" w:w="2160"/>
          </w:tcPr>
          <w:p>
            <w:r>
              <w:t>Année 2</w:t>
            </w:r>
          </w:p>
        </w:tc>
        <w:tc>
          <w:tcPr>
            <w:tcW w:type="dxa" w:w="2160"/>
          </w:tcPr>
          <w:p>
            <w:r>
              <w:t>Année 3</w:t>
            </w:r>
          </w:p>
        </w:tc>
      </w:tr>
      <w:tr>
        <w:tc>
          <w:tcPr>
            <w:tcW w:type="dxa" w:w="2160"/>
          </w:tcPr>
          <w:p>
            <w:r>
              <w:t>Chiffre d'affaires</w:t>
            </w:r>
          </w:p>
        </w:tc>
        <w:tc>
          <w:tcPr>
            <w:tcW w:type="dxa" w:w="2160"/>
          </w:tcPr>
          <w:p>
            <w:r>
              <w:t>180 000</w:t>
            </w:r>
          </w:p>
        </w:tc>
        <w:tc>
          <w:tcPr>
            <w:tcW w:type="dxa" w:w="2160"/>
          </w:tcPr>
          <w:p>
            <w:r>
              <w:t>290 000</w:t>
            </w:r>
          </w:p>
        </w:tc>
        <w:tc>
          <w:tcPr>
            <w:tcW w:type="dxa" w:w="2160"/>
          </w:tcPr>
          <w:p>
            <w:r>
              <w:t>380 000</w:t>
            </w:r>
          </w:p>
        </w:tc>
      </w:tr>
      <w:tr>
        <w:tc>
          <w:tcPr>
            <w:tcW w:type="dxa" w:w="2160"/>
          </w:tcPr>
          <w:p>
            <w:r>
              <w:t>Achats consommés</w:t>
            </w:r>
          </w:p>
        </w:tc>
        <w:tc>
          <w:tcPr>
            <w:tcW w:type="dxa" w:w="2160"/>
          </w:tcPr>
          <w:p>
            <w:r>
              <w:t>99 000</w:t>
            </w:r>
          </w:p>
        </w:tc>
        <w:tc>
          <w:tcPr>
            <w:tcW w:type="dxa" w:w="2160"/>
          </w:tcPr>
          <w:p>
            <w:r>
              <w:t>156 000</w:t>
            </w:r>
          </w:p>
        </w:tc>
        <w:tc>
          <w:tcPr>
            <w:tcW w:type="dxa" w:w="2160"/>
          </w:tcPr>
          <w:p>
            <w:r>
              <w:t>202 000</w:t>
            </w:r>
          </w:p>
        </w:tc>
      </w:tr>
      <w:tr>
        <w:tc>
          <w:tcPr>
            <w:tcW w:type="dxa" w:w="2160"/>
          </w:tcPr>
          <w:p>
            <w:r>
              <w:t>Charges de personnel</w:t>
            </w:r>
          </w:p>
        </w:tc>
        <w:tc>
          <w:tcPr>
            <w:tcW w:type="dxa" w:w="2160"/>
          </w:tcPr>
          <w:p>
            <w:r>
              <w:t>36 000</w:t>
            </w:r>
          </w:p>
        </w:tc>
        <w:tc>
          <w:tcPr>
            <w:tcW w:type="dxa" w:w="2160"/>
          </w:tcPr>
          <w:p>
            <w:r>
              <w:t>52 000</w:t>
            </w:r>
          </w:p>
        </w:tc>
        <w:tc>
          <w:tcPr>
            <w:tcW w:type="dxa" w:w="2160"/>
          </w:tcPr>
          <w:p>
            <w:r>
              <w:t>64 000</w:t>
            </w:r>
          </w:p>
        </w:tc>
      </w:tr>
      <w:tr>
        <w:tc>
          <w:tcPr>
            <w:tcW w:type="dxa" w:w="2160"/>
          </w:tcPr>
          <w:p>
            <w:r>
              <w:t>Autres charges d'exploitation</w:t>
            </w:r>
          </w:p>
        </w:tc>
        <w:tc>
          <w:tcPr>
            <w:tcW w:type="dxa" w:w="2160"/>
          </w:tcPr>
          <w:p>
            <w:r>
              <w:t>22 000</w:t>
            </w:r>
          </w:p>
        </w:tc>
        <w:tc>
          <w:tcPr>
            <w:tcW w:type="dxa" w:w="2160"/>
          </w:tcPr>
          <w:p>
            <w:r>
              <w:t>30 000</w:t>
            </w:r>
          </w:p>
        </w:tc>
        <w:tc>
          <w:tcPr>
            <w:tcW w:type="dxa" w:w="2160"/>
          </w:tcPr>
          <w:p>
            <w:r>
              <w:t>36 000</w:t>
            </w:r>
          </w:p>
        </w:tc>
      </w:tr>
      <w:tr>
        <w:tc>
          <w:tcPr>
            <w:tcW w:type="dxa" w:w="2160"/>
          </w:tcPr>
          <w:p>
            <w:r>
              <w:t>Dotations aux amortissements</w:t>
            </w:r>
          </w:p>
        </w:tc>
        <w:tc>
          <w:tcPr>
            <w:tcW w:type="dxa" w:w="2160"/>
          </w:tcPr>
          <w:p>
            <w:r>
              <w:t>22 000</w:t>
            </w:r>
          </w:p>
        </w:tc>
        <w:tc>
          <w:tcPr>
            <w:tcW w:type="dxa" w:w="2160"/>
          </w:tcPr>
          <w:p>
            <w:r>
              <w:t>22 000</w:t>
            </w:r>
          </w:p>
        </w:tc>
        <w:tc>
          <w:tcPr>
            <w:tcW w:type="dxa" w:w="2160"/>
          </w:tcPr>
          <w:p>
            <w:r>
              <w:t>22 000</w:t>
            </w:r>
          </w:p>
        </w:tc>
      </w:tr>
      <w:tr>
        <w:tc>
          <w:tcPr>
            <w:tcW w:type="dxa" w:w="2160"/>
          </w:tcPr>
          <w:p>
            <w:r>
              <w:t>Charges financières</w:t>
            </w:r>
          </w:p>
        </w:tc>
        <w:tc>
          <w:tcPr>
            <w:tcW w:type="dxa" w:w="2160"/>
          </w:tcPr>
          <w:p>
            <w:r>
              <w:t>10 450</w:t>
            </w:r>
          </w:p>
        </w:tc>
        <w:tc>
          <w:tcPr>
            <w:tcW w:type="dxa" w:w="2160"/>
          </w:tcPr>
          <w:p>
            <w:r>
              <w:t>10 450</w:t>
            </w:r>
          </w:p>
        </w:tc>
        <w:tc>
          <w:tcPr>
            <w:tcW w:type="dxa" w:w="2160"/>
          </w:tcPr>
          <w:p>
            <w:r>
              <w:t>7 840</w:t>
            </w:r>
          </w:p>
        </w:tc>
      </w:tr>
      <w:tr>
        <w:tc>
          <w:tcPr>
            <w:tcW w:type="dxa" w:w="2160"/>
          </w:tcPr>
          <w:p>
            <w:r>
              <w:t>Impôt sur les sociétés</w:t>
            </w:r>
          </w:p>
        </w:tc>
        <w:tc>
          <w:tcPr>
            <w:tcW w:type="dxa" w:w="2160"/>
          </w:tcPr>
          <w:p>
            <w:r>
              <w:t>0</w:t>
            </w:r>
          </w:p>
        </w:tc>
        <w:tc>
          <w:tcPr>
            <w:tcW w:type="dxa" w:w="2160"/>
          </w:tcPr>
          <w:p>
            <w:r>
              <w:t>3 910</w:t>
            </w:r>
          </w:p>
        </w:tc>
        <w:tc>
          <w:tcPr>
            <w:tcW w:type="dxa" w:w="2160"/>
          </w:tcPr>
          <w:p>
            <w:r>
              <w:t>9 632</w:t>
            </w:r>
          </w:p>
        </w:tc>
      </w:tr>
      <w:tr>
        <w:tc>
          <w:tcPr>
            <w:tcW w:type="dxa" w:w="2160"/>
          </w:tcPr>
          <w:p>
            <w:r>
              <w:t>Résultat net</w:t>
            </w:r>
          </w:p>
        </w:tc>
        <w:tc>
          <w:tcPr>
            <w:tcW w:type="dxa" w:w="2160"/>
          </w:tcPr>
          <w:p>
            <w:r>
              <w:t>-9 450</w:t>
            </w:r>
          </w:p>
        </w:tc>
        <w:tc>
          <w:tcPr>
            <w:tcW w:type="dxa" w:w="2160"/>
          </w:tcPr>
          <w:p>
            <w:r>
              <w:t>15 640</w:t>
            </w:r>
          </w:p>
        </w:tc>
        <w:tc>
          <w:tcPr>
            <w:tcW w:type="dxa" w:w="2160"/>
          </w:tcPr>
          <w:p>
            <w:r>
              <w:t>38 528</w:t>
            </w:r>
          </w:p>
        </w:tc>
      </w:tr>
    </w:tbl>
    <w:p/>
    <w:p>
      <w:pPr>
        <w:pStyle w:val="Heading1"/>
      </w:pPr>
      <w:r>
        <w:t>Risques et mesures</w:t>
      </w:r>
    </w:p>
    <w:p>
      <w:r>
        <w:t>Le premier risque est la variation du prix de l'huile en vrac d'une récolte à l'autre : nous signons des contrats annuels et gardons trois mois de stock. Le second est la dépendance à deux enseignes : l'objectif est qu'aucun client ne dépasse 35 % du chiffre d'affaires. Un retard de paiement des grandes surfaces est couvert par une ligne de trésorerie de 20 000 TND négociée avec la banque.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