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RendezVousPro: appointment booking and reminders for private clinics</w:t>
      </w:r>
    </w:p>
    <w:p>
      <w:pPr>
        <w:pStyle w:val="Heading1"/>
      </w:pPr>
      <w:r>
        <w:t>Executive Summary</w:t>
      </w:r>
    </w:p>
    <w:p>
      <w:r>
        <w:t>RendezVousPro is a web service that lets private clinics in Tunisia take appointments online and send SMS and WhatsApp reminders to patients. Six clinics in Tunis and Ariana have used the beta for four months. In a sample of 1,900 appointments, the no-show rate fell from 22% to 11%. We are raising 80,000 TND to hire two more developers and open sales in Sfax and Sousse.</w:t>
      </w:r>
    </w:p>
    <w:p>
      <w:pPr>
        <w:pStyle w:val="Heading1"/>
      </w:pPr>
      <w:r>
        <w:t>Problem</w:t>
      </w:r>
    </w:p>
    <w:p>
      <w:r>
        <w:t>Private clinics lose between one in five and one in six booked slots to patients who do not show up, and receptionists spend about a third of their day on phone calls to rebook. Most clinics still use a paper diary or a shared WhatsApp number.</w:t>
      </w:r>
    </w:p>
    <w:p>
      <w:pPr>
        <w:pStyle w:val="Heading1"/>
      </w:pPr>
      <w:r>
        <w:t>Market</w:t>
      </w:r>
    </w:p>
    <w:p>
      <w:r>
        <w:t>The national order of physicians lists about 2,900 private practices and clinics in the governorates we cover first. We target group practices and clinics with at least three practitioners, roughly 600 sites. Alternatives are the paper diary, general calendar tools that do not send reminders in Arabic or French, and French platforms such as Doctolib, which do not operate in Tunisia today. Our price is 180 TND per month per site, about the cost of half a day of receptionist time.</w:t>
      </w:r>
    </w:p>
    <w:p>
      <w:pPr>
        <w:pStyle w:val="Heading1"/>
      </w:pPr>
      <w:r>
        <w:t>Business Model</w:t>
      </w:r>
    </w:p>
    <w:p>
      <w:r>
        <w:t>Monthly subscription of 180 TND per site, with a 30-day free trial. Variable costs are SMS and WhatsApp messages and hosting, about 12% of revenue. Of the six beta clinics, five have asked to convert to a paid plan at the end of the trial.</w:t>
      </w:r>
    </w:p>
    <w:p>
      <w:pPr>
        <w:pStyle w:val="Heading1"/>
      </w:pPr>
      <w:r>
        <w:t>Financials and Funding Ask</w:t>
      </w:r>
    </w:p>
    <w:p>
      <w:r>
        <w:t>We assume 25 paying sites on average in year 1, 80 in year 2 and 170 in year 3. The company needs 80,000 TND: 15,000 for equipment, 45,000 of working capital and 20,000 for launch marketing. The founders contribute 30,000 TND and we have applied for a 50,000 TND innovation grant; if the grant is refused we will slow hiring and reduce marketing, which delays break-even by about six months.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Uses</w:t>
            </w:r>
          </w:p>
        </w:tc>
        <w:tc>
          <w:tcPr>
            <w:tcW w:type="dxa" w:w="2160"/>
          </w:tcPr>
          <w:p>
            <w:r>
              <w:t>Amount (TND)</w:t>
            </w:r>
          </w:p>
        </w:tc>
        <w:tc>
          <w:tcPr>
            <w:tcW w:type="dxa" w:w="2160"/>
          </w:tcPr>
          <w:p>
            <w:r>
              <w:t>Sources</w:t>
            </w:r>
          </w:p>
        </w:tc>
        <w:tc>
          <w:tcPr>
            <w:tcW w:type="dxa" w:w="2160"/>
          </w:tcPr>
          <w:p>
            <w:r>
              <w:t>Amount (TND)</w:t>
            </w:r>
          </w:p>
        </w:tc>
      </w:tr>
      <w:tr>
        <w:tc>
          <w:tcPr>
            <w:tcW w:type="dxa" w:w="2160"/>
          </w:tcPr>
          <w:p>
            <w:r>
              <w:t>Development equipment</w:t>
            </w:r>
          </w:p>
        </w:tc>
        <w:tc>
          <w:tcPr>
            <w:tcW w:type="dxa" w:w="2160"/>
          </w:tcPr>
          <w:p>
            <w:r>
              <w:t>15 000</w:t>
            </w:r>
          </w:p>
        </w:tc>
        <w:tc>
          <w:tcPr>
            <w:tcW w:type="dxa" w:w="2160"/>
          </w:tcPr>
          <w:p>
            <w:r>
              <w:t>Founders' own funds</w:t>
            </w:r>
          </w:p>
        </w:tc>
        <w:tc>
          <w:tcPr>
            <w:tcW w:type="dxa" w:w="2160"/>
          </w:tcPr>
          <w:p>
            <w:r>
              <w:t>30 000</w:t>
            </w:r>
          </w:p>
        </w:tc>
      </w:tr>
      <w:tr>
        <w:tc>
          <w:tcPr>
            <w:tcW w:type="dxa" w:w="2160"/>
          </w:tcPr>
          <w:p>
            <w:r>
              <w:t>Working capital</w:t>
            </w:r>
          </w:p>
        </w:tc>
        <w:tc>
          <w:tcPr>
            <w:tcW w:type="dxa" w:w="2160"/>
          </w:tcPr>
          <w:p>
            <w:r>
              <w:t>45 000</w:t>
            </w:r>
          </w:p>
        </w:tc>
        <w:tc>
          <w:tcPr>
            <w:tcW w:type="dxa" w:w="2160"/>
          </w:tcPr>
          <w:p>
            <w:r>
              <w:t>Innovation grant</w:t>
            </w:r>
          </w:p>
        </w:tc>
        <w:tc>
          <w:tcPr>
            <w:tcW w:type="dxa" w:w="2160"/>
          </w:tcPr>
          <w:p>
            <w:r>
              <w:t>50 000</w:t>
            </w:r>
          </w:p>
        </w:tc>
      </w:tr>
      <w:tr>
        <w:tc>
          <w:tcPr>
            <w:tcW w:type="dxa" w:w="2160"/>
          </w:tcPr>
          <w:p>
            <w:r>
              <w:t>Launch marketing</w:t>
            </w:r>
          </w:p>
        </w:tc>
        <w:tc>
          <w:tcPr>
            <w:tcW w:type="dxa" w:w="2160"/>
          </w:tcPr>
          <w:p>
            <w:r>
              <w:t>20 000</w:t>
            </w:r>
          </w:p>
        </w:tc>
        <w:tc>
          <w:tcPr>
            <w:tcW w:type="dxa" w:w="2160"/>
          </w:tcPr>
          <w:p>
            <w:r/>
          </w:p>
        </w:tc>
        <w:tc>
          <w:tcPr>
            <w:tcW w:type="dxa" w:w="2160"/>
          </w:tcPr>
          <w:p>
            <w:r/>
          </w:p>
        </w:tc>
      </w:tr>
      <w:tr>
        <w:tc>
          <w:tcPr>
            <w:tcW w:type="dxa" w:w="2160"/>
          </w:tcPr>
          <w:p>
            <w:r>
              <w:t>Total uses</w:t>
            </w:r>
          </w:p>
        </w:tc>
        <w:tc>
          <w:tcPr>
            <w:tcW w:type="dxa" w:w="2160"/>
          </w:tcPr>
          <w:p>
            <w:r>
              <w:t>80 000</w:t>
            </w:r>
          </w:p>
        </w:tc>
        <w:tc>
          <w:tcPr>
            <w:tcW w:type="dxa" w:w="2160"/>
          </w:tcPr>
          <w:p>
            <w:r>
              <w:t>Total sources</w:t>
            </w:r>
          </w:p>
        </w:tc>
        <w:tc>
          <w:tcPr>
            <w:tcW w:type="dxa" w:w="2160"/>
          </w:tcPr>
          <w:p>
            <w:r>
              <w:t>80 000</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Year 1</w:t>
            </w:r>
          </w:p>
        </w:tc>
        <w:tc>
          <w:tcPr>
            <w:tcW w:type="dxa" w:w="2160"/>
          </w:tcPr>
          <w:p>
            <w:r>
              <w:t>Year 2</w:t>
            </w:r>
          </w:p>
        </w:tc>
        <w:tc>
          <w:tcPr>
            <w:tcW w:type="dxa" w:w="2160"/>
          </w:tcPr>
          <w:p>
            <w:r>
              <w:t>Year 3</w:t>
            </w:r>
          </w:p>
        </w:tc>
      </w:tr>
      <w:tr>
        <w:tc>
          <w:tcPr>
            <w:tcW w:type="dxa" w:w="2160"/>
          </w:tcPr>
          <w:p>
            <w:r>
              <w:t>Revenue</w:t>
            </w:r>
          </w:p>
        </w:tc>
        <w:tc>
          <w:tcPr>
            <w:tcW w:type="dxa" w:w="2160"/>
          </w:tcPr>
          <w:p>
            <w:r>
              <w:t>54 000</w:t>
            </w:r>
          </w:p>
        </w:tc>
        <w:tc>
          <w:tcPr>
            <w:tcW w:type="dxa" w:w="2160"/>
          </w:tcPr>
          <w:p>
            <w:r>
              <w:t>172 800</w:t>
            </w:r>
          </w:p>
        </w:tc>
        <w:tc>
          <w:tcPr>
            <w:tcW w:type="dxa" w:w="2160"/>
          </w:tcPr>
          <w:p>
            <w:r>
              <w:t>367 200</w:t>
            </w:r>
          </w:p>
        </w:tc>
      </w:tr>
      <w:tr>
        <w:tc>
          <w:tcPr>
            <w:tcW w:type="dxa" w:w="2160"/>
          </w:tcPr>
          <w:p>
            <w:r>
              <w:t>Cost of sales (messages, hosting)</w:t>
            </w:r>
          </w:p>
        </w:tc>
        <w:tc>
          <w:tcPr>
            <w:tcW w:type="dxa" w:w="2160"/>
          </w:tcPr>
          <w:p>
            <w:r>
              <w:t>6 500</w:t>
            </w:r>
          </w:p>
        </w:tc>
        <w:tc>
          <w:tcPr>
            <w:tcW w:type="dxa" w:w="2160"/>
          </w:tcPr>
          <w:p>
            <w:r>
              <w:t>20 700</w:t>
            </w:r>
          </w:p>
        </w:tc>
        <w:tc>
          <w:tcPr>
            <w:tcW w:type="dxa" w:w="2160"/>
          </w:tcPr>
          <w:p>
            <w:r>
              <w:t>44 000</w:t>
            </w:r>
          </w:p>
        </w:tc>
      </w:tr>
      <w:tr>
        <w:tc>
          <w:tcPr>
            <w:tcW w:type="dxa" w:w="2160"/>
          </w:tcPr>
          <w:p>
            <w:r>
              <w:t>Payroll</w:t>
            </w:r>
          </w:p>
        </w:tc>
        <w:tc>
          <w:tcPr>
            <w:tcW w:type="dxa" w:w="2160"/>
          </w:tcPr>
          <w:p>
            <w:r>
              <w:t>42 120</w:t>
            </w:r>
          </w:p>
        </w:tc>
        <w:tc>
          <w:tcPr>
            <w:tcW w:type="dxa" w:w="2160"/>
          </w:tcPr>
          <w:p>
            <w:r>
              <w:t>95 000</w:t>
            </w:r>
          </w:p>
        </w:tc>
        <w:tc>
          <w:tcPr>
            <w:tcW w:type="dxa" w:w="2160"/>
          </w:tcPr>
          <w:p>
            <w:r>
              <w:t>150 000</w:t>
            </w:r>
          </w:p>
        </w:tc>
      </w:tr>
      <w:tr>
        <w:tc>
          <w:tcPr>
            <w:tcW w:type="dxa" w:w="2160"/>
          </w:tcPr>
          <w:p>
            <w:r>
              <w:t>Other operating costs</w:t>
            </w:r>
          </w:p>
        </w:tc>
        <w:tc>
          <w:tcPr>
            <w:tcW w:type="dxa" w:w="2160"/>
          </w:tcPr>
          <w:p>
            <w:r>
              <w:t>20 000</w:t>
            </w:r>
          </w:p>
        </w:tc>
        <w:tc>
          <w:tcPr>
            <w:tcW w:type="dxa" w:w="2160"/>
          </w:tcPr>
          <w:p>
            <w:r>
              <w:t>45 000</w:t>
            </w:r>
          </w:p>
        </w:tc>
        <w:tc>
          <w:tcPr>
            <w:tcW w:type="dxa" w:w="2160"/>
          </w:tcPr>
          <w:p>
            <w:r>
              <w:t>80 000</w:t>
            </w:r>
          </w:p>
        </w:tc>
      </w:tr>
      <w:tr>
        <w:tc>
          <w:tcPr>
            <w:tcW w:type="dxa" w:w="2160"/>
          </w:tcPr>
          <w:p>
            <w:r>
              <w:t>Depreciation</w:t>
            </w:r>
          </w:p>
        </w:tc>
        <w:tc>
          <w:tcPr>
            <w:tcW w:type="dxa" w:w="2160"/>
          </w:tcPr>
          <w:p>
            <w:r>
              <w:t>3 000</w:t>
            </w:r>
          </w:p>
        </w:tc>
        <w:tc>
          <w:tcPr>
            <w:tcW w:type="dxa" w:w="2160"/>
          </w:tcPr>
          <w:p>
            <w:r>
              <w:t>3 000</w:t>
            </w:r>
          </w:p>
        </w:tc>
        <w:tc>
          <w:tcPr>
            <w:tcW w:type="dxa" w:w="2160"/>
          </w:tcPr>
          <w:p>
            <w:r>
              <w:t>3 000</w:t>
            </w:r>
          </w:p>
        </w:tc>
      </w:tr>
      <w:tr>
        <w:tc>
          <w:tcPr>
            <w:tcW w:type="dxa" w:w="2160"/>
          </w:tcPr>
          <w:p>
            <w:r>
              <w:t>Financial costs</w:t>
            </w:r>
          </w:p>
        </w:tc>
        <w:tc>
          <w:tcPr>
            <w:tcW w:type="dxa" w:w="2160"/>
          </w:tcPr>
          <w:p>
            <w:r>
              <w:t>0</w:t>
            </w:r>
          </w:p>
        </w:tc>
        <w:tc>
          <w:tcPr>
            <w:tcW w:type="dxa" w:w="2160"/>
          </w:tcPr>
          <w:p>
            <w:r>
              <w:t>0</w:t>
            </w:r>
          </w:p>
        </w:tc>
        <w:tc>
          <w:tcPr>
            <w:tcW w:type="dxa" w:w="2160"/>
          </w:tcPr>
          <w:p>
            <w:r>
              <w:t>0</w:t>
            </w:r>
          </w:p>
        </w:tc>
      </w:tr>
      <w:tr>
        <w:tc>
          <w:tcPr>
            <w:tcW w:type="dxa" w:w="2160"/>
          </w:tcPr>
          <w:p>
            <w:r>
              <w:t>Corporate tax</w:t>
            </w:r>
          </w:p>
        </w:tc>
        <w:tc>
          <w:tcPr>
            <w:tcW w:type="dxa" w:w="2160"/>
          </w:tcPr>
          <w:p>
            <w:r>
              <w:t>0</w:t>
            </w:r>
          </w:p>
        </w:tc>
        <w:tc>
          <w:tcPr>
            <w:tcW w:type="dxa" w:w="2160"/>
          </w:tcPr>
          <w:p>
            <w:r>
              <w:t>1 820</w:t>
            </w:r>
          </w:p>
        </w:tc>
        <w:tc>
          <w:tcPr>
            <w:tcW w:type="dxa" w:w="2160"/>
          </w:tcPr>
          <w:p>
            <w:r>
              <w:t>18 040</w:t>
            </w:r>
          </w:p>
        </w:tc>
      </w:tr>
      <w:tr>
        <w:tc>
          <w:tcPr>
            <w:tcW w:type="dxa" w:w="2160"/>
          </w:tcPr>
          <w:p>
            <w:r>
              <w:t>Net result</w:t>
            </w:r>
          </w:p>
        </w:tc>
        <w:tc>
          <w:tcPr>
            <w:tcW w:type="dxa" w:w="2160"/>
          </w:tcPr>
          <w:p>
            <w:r>
              <w:t>-17 620</w:t>
            </w:r>
          </w:p>
        </w:tc>
        <w:tc>
          <w:tcPr>
            <w:tcW w:type="dxa" w:w="2160"/>
          </w:tcPr>
          <w:p>
            <w:r>
              <w:t>7 280</w:t>
            </w:r>
          </w:p>
        </w:tc>
        <w:tc>
          <w:tcPr>
            <w:tcW w:type="dxa" w:w="2160"/>
          </w:tcPr>
          <w:p>
            <w:r>
              <w:t>72 160</w:t>
            </w:r>
          </w:p>
        </w:tc>
      </w:tr>
    </w:tbl>
    <w:p/>
    <w:p>
      <w:pPr>
        <w:pStyle w:val="Heading1"/>
      </w:pPr>
      <w:r>
        <w:t>Team</w:t>
      </w:r>
    </w:p>
    <w:p>
      <w:r>
        <w:t>Nour A., CEO, worked four years as a product manager at a Tunis software company and sold the first clinic contracts herself. Yassine M., CTO, built the booking engine and previously ran the information systems of a private hospital for three years. A part-time advisor, a practising physician, reviews the product with the beta clinics each month.</w:t>
      </w:r>
    </w:p>
    <w:p>
      <w:pPr>
        <w:pStyle w:val="Heading1"/>
      </w:pPr>
      <w:r>
        <w:t>Risks</w:t>
      </w:r>
    </w:p>
    <w:p>
      <w:r>
        <w:t>Clinics may be slow to change habits: we address this with free onboarding and a trial. Messaging costs depend on mobile operators; we have two providers and can switch. A larger player could enter the market; our response is local support and Arabic and French interfaces.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