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Boulangerie-pâtisserie artisanale Dar El Khobz (Sousse)</w:t>
      </w:r>
    </w:p>
    <w:p>
      <w:pPr>
        <w:pStyle w:val="Heading1"/>
      </w:pPr>
      <w:r>
        <w:t>Présentation du projet</w:t>
      </w:r>
    </w:p>
    <w:p>
      <w:r>
        <w:t>Ouverture d'une boulangerie-pâtisserie artisanale de quartier à Sousse, avec fabrication sur place du pain, de viennoiseries et de pâtisseries tunisiennes. Investissement total : 95 000 TND.</w:t>
      </w:r>
    </w:p>
    <w:p>
      <w:pPr>
        <w:pStyle w:val="Heading1"/>
      </w:pPr>
      <w:r>
        <w:t>Le promoteur</w:t>
      </w:r>
    </w:p>
    <w:p>
      <w:r>
        <w:t>Hatem R., 38 ans, maître boulanger, travaille depuis douze ans dans deux boulangeries de Sousse et dirige l'équipe de production d'une d'elles depuis cinq ans. Son épouse, comptable, tiendra la gestion et la caisse.</w:t>
      </w:r>
    </w:p>
    <w:p>
      <w:pPr>
        <w:pStyle w:val="Heading1"/>
      </w:pPr>
      <w:r>
        <w:t>Étude de marché</w:t>
      </w:r>
    </w:p>
    <w:p>
      <w:r>
        <w:t>Le local se trouve dans un quartier résidentiel de 9 000 habitants environ. Nous avons compté les passants devant le local pendant trois jours en semaine et un samedi, entre 6 h et 20 h : en moyenne 1 150 personnes par jour. Deux boulangeries se trouvent à moins de 400 mètres; l'une vend uniquement du pain subventionné, l'autre propose des viennoiseries industrielles. Aucune ne fait de pâtisserie traditionnelle fabriquée sur place. Panier moyen estimé : 6 TND, sur la base de trois boulangeries comparables où nous avons observé les ventes.</w:t>
      </w:r>
    </w:p>
    <w:p>
      <w:pPr>
        <w:pStyle w:val="Heading1"/>
      </w:pPr>
      <w:r>
        <w:t>Plan marketing</w:t>
      </w:r>
    </w:p>
    <w:p>
      <w:r>
        <w:t>Produits : pain de qualité, viennoiseries, pâtisserie du jour, commandes pour fêtes et mariages. Prix alignés sur la moyenne du quartier, 5 à 10 % au-dessus pour les pâtisseries. Communication : enseigne, page Facebook, dégustation à l'ouverture, partenariat avec deux cafés voisins.</w:t>
      </w:r>
    </w:p>
    <w:p>
      <w:pPr>
        <w:pStyle w:val="Heading1"/>
      </w:pPr>
      <w:r>
        <w:t>Moyens de production et ressources humaines</w:t>
      </w:r>
    </w:p>
    <w:p>
      <w:r>
        <w:t>Four à étages, pétrin, laminoir et vitrines réfrigérées; local de 85 m² loué 1 100 TND par mois. Équipe : le promoteur, deux boulangers-pâtissiers et deux vendeuses. Salaire brut moyen 950 TND.</w:t>
      </w:r>
    </w:p>
    <w:p>
      <w:pPr>
        <w:pStyle w:val="Heading1"/>
      </w:pPr>
      <w:r>
        <w:t>Plan de financement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Emplois</w:t>
            </w:r>
          </w:p>
        </w:tc>
        <w:tc>
          <w:tcPr>
            <w:tcW w:type="dxa" w:w="2160"/>
          </w:tcPr>
          <w:p>
            <w:r>
              <w:t>Montant (TND)</w:t>
            </w:r>
          </w:p>
        </w:tc>
        <w:tc>
          <w:tcPr>
            <w:tcW w:type="dxa" w:w="2160"/>
          </w:tcPr>
          <w:p>
            <w:r>
              <w:t>Ressources</w:t>
            </w:r>
          </w:p>
        </w:tc>
        <w:tc>
          <w:tcPr>
            <w:tcW w:type="dxa" w:w="2160"/>
          </w:tcPr>
          <w:p>
            <w:r>
              <w:t>Montant (TND)</w:t>
            </w:r>
          </w:p>
        </w:tc>
      </w:tr>
      <w:tr>
        <w:tc>
          <w:tcPr>
            <w:tcW w:type="dxa" w:w="2160"/>
          </w:tcPr>
          <w:p>
            <w:r>
              <w:t>Four, pétrin et équipement</w:t>
            </w:r>
          </w:p>
        </w:tc>
        <w:tc>
          <w:tcPr>
            <w:tcW w:type="dxa" w:w="2160"/>
          </w:tcPr>
          <w:p>
            <w:r>
              <w:t>48 000</w:t>
            </w:r>
          </w:p>
        </w:tc>
        <w:tc>
          <w:tcPr>
            <w:tcW w:type="dxa" w:w="2160"/>
          </w:tcPr>
          <w:p>
            <w:r>
              <w:t>Apport personnel</w:t>
            </w:r>
          </w:p>
        </w:tc>
        <w:tc>
          <w:tcPr>
            <w:tcW w:type="dxa" w:w="2160"/>
          </w:tcPr>
          <w:p>
            <w:r>
              <w:t>45 000</w:t>
            </w:r>
          </w:p>
        </w:tc>
      </w:tr>
      <w:tr>
        <w:tc>
          <w:tcPr>
            <w:tcW w:type="dxa" w:w="2160"/>
          </w:tcPr>
          <w:p>
            <w:r>
              <w:t>Travaux et enseigne</w:t>
            </w:r>
          </w:p>
        </w:tc>
        <w:tc>
          <w:tcPr>
            <w:tcW w:type="dxa" w:w="2160"/>
          </w:tcPr>
          <w:p>
            <w:r>
              <w:t>17 000</w:t>
            </w:r>
          </w:p>
        </w:tc>
        <w:tc>
          <w:tcPr>
            <w:tcW w:type="dxa" w:w="2160"/>
          </w:tcPr>
          <w:p>
            <w:r>
              <w:t>Crédit bancaire (5 ans, taux 10 %)</w:t>
            </w:r>
          </w:p>
        </w:tc>
        <w:tc>
          <w:tcPr>
            <w:tcW w:type="dxa" w:w="2160"/>
          </w:tcPr>
          <w:p>
            <w:r>
              <w:t>50 000</w:t>
            </w:r>
          </w:p>
        </w:tc>
      </w:tr>
      <w:tr>
        <w:tc>
          <w:tcPr>
            <w:tcW w:type="dxa" w:w="2160"/>
          </w:tcPr>
          <w:p>
            <w:r>
              <w:t>Stock initial et trésorerie</w:t>
            </w:r>
          </w:p>
        </w:tc>
        <w:tc>
          <w:tcPr>
            <w:tcW w:type="dxa" w:w="2160"/>
          </w:tcPr>
          <w:p>
            <w:r>
              <w:t>22 000</w:t>
            </w:r>
          </w:p>
        </w:tc>
        <w:tc>
          <w:tcPr>
            <w:tcW w:type="dxa" w:w="2160"/>
          </w:tcPr>
          <w:p>
            <w:r/>
          </w:p>
        </w:tc>
        <w:tc>
          <w:tcPr>
            <w:tcW w:type="dxa" w:w="2160"/>
          </w:tcPr>
          <w:p>
            <w:r/>
          </w:p>
        </w:tc>
      </w:tr>
      <w:tr>
        <w:tc>
          <w:tcPr>
            <w:tcW w:type="dxa" w:w="2160"/>
          </w:tcPr>
          <w:p>
            <w:r>
              <w:t>Frais d'ouverture</w:t>
            </w:r>
          </w:p>
        </w:tc>
        <w:tc>
          <w:tcPr>
            <w:tcW w:type="dxa" w:w="2160"/>
          </w:tcPr>
          <w:p>
            <w:r>
              <w:t>8 000</w:t>
            </w:r>
          </w:p>
        </w:tc>
        <w:tc>
          <w:tcPr>
            <w:tcW w:type="dxa" w:w="2160"/>
          </w:tcPr>
          <w:p>
            <w:r/>
          </w:p>
        </w:tc>
        <w:tc>
          <w:tcPr>
            <w:tcW w:type="dxa" w:w="2160"/>
          </w:tcPr>
          <w:p>
            <w:r/>
          </w:p>
        </w:tc>
      </w:tr>
      <w:tr>
        <w:tc>
          <w:tcPr>
            <w:tcW w:type="dxa" w:w="2160"/>
          </w:tcPr>
          <w:p>
            <w:r>
              <w:t>Total emplois</w:t>
            </w:r>
          </w:p>
        </w:tc>
        <w:tc>
          <w:tcPr>
            <w:tcW w:type="dxa" w:w="2160"/>
          </w:tcPr>
          <w:p>
            <w:r>
              <w:t>95 000</w:t>
            </w:r>
          </w:p>
        </w:tc>
        <w:tc>
          <w:tcPr>
            <w:tcW w:type="dxa" w:w="2160"/>
          </w:tcPr>
          <w:p>
            <w:r>
              <w:t>Total ressources</w:t>
            </w:r>
          </w:p>
        </w:tc>
        <w:tc>
          <w:tcPr>
            <w:tcW w:type="dxa" w:w="2160"/>
          </w:tcPr>
          <w:p>
            <w:r>
              <w:t>95 000</w:t>
            </w:r>
          </w:p>
        </w:tc>
      </w:tr>
    </w:tbl>
    <w:p/>
    <w:p>
      <w:pPr>
        <w:pStyle w:val="Heading1"/>
      </w:pPr>
      <w:r>
        <w:t>Prévisions financières</w:t>
      </w:r>
    </w:p>
    <w:p>
      <w:r>
        <w:t>Nous estimons 70 clients par jour la première année pour un panier de 6 TND, soit environ 140 000 TND de chiffre d'affaires, avec une croissance de 25 % puis de 14 %. Les matières premières représentent 38 % des ventes.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Année 1</w:t>
            </w:r>
          </w:p>
        </w:tc>
        <w:tc>
          <w:tcPr>
            <w:tcW w:type="dxa" w:w="2160"/>
          </w:tcPr>
          <w:p>
            <w:r>
              <w:t>Année 2</w:t>
            </w:r>
          </w:p>
        </w:tc>
        <w:tc>
          <w:tcPr>
            <w:tcW w:type="dxa" w:w="2160"/>
          </w:tcPr>
          <w:p>
            <w:r>
              <w:t>Année 3</w:t>
            </w:r>
          </w:p>
        </w:tc>
      </w:tr>
      <w:tr>
        <w:tc>
          <w:tcPr>
            <w:tcW w:type="dxa" w:w="2160"/>
          </w:tcPr>
          <w:p>
            <w:r>
              <w:t>Chiffre d'affaires</w:t>
            </w:r>
          </w:p>
        </w:tc>
        <w:tc>
          <w:tcPr>
            <w:tcW w:type="dxa" w:w="2160"/>
          </w:tcPr>
          <w:p>
            <w:r>
              <w:t>140 000</w:t>
            </w:r>
          </w:p>
        </w:tc>
        <w:tc>
          <w:tcPr>
            <w:tcW w:type="dxa" w:w="2160"/>
          </w:tcPr>
          <w:p>
            <w:r>
              <w:t>175 000</w:t>
            </w:r>
          </w:p>
        </w:tc>
        <w:tc>
          <w:tcPr>
            <w:tcW w:type="dxa" w:w="2160"/>
          </w:tcPr>
          <w:p>
            <w:r>
              <w:t>200 000</w:t>
            </w:r>
          </w:p>
        </w:tc>
      </w:tr>
      <w:tr>
        <w:tc>
          <w:tcPr>
            <w:tcW w:type="dxa" w:w="2160"/>
          </w:tcPr>
          <w:p>
            <w:r>
              <w:t>Achats consommés</w:t>
            </w:r>
          </w:p>
        </w:tc>
        <w:tc>
          <w:tcPr>
            <w:tcW w:type="dxa" w:w="2160"/>
          </w:tcPr>
          <w:p>
            <w:r>
              <w:t>53 200</w:t>
            </w:r>
          </w:p>
        </w:tc>
        <w:tc>
          <w:tcPr>
            <w:tcW w:type="dxa" w:w="2160"/>
          </w:tcPr>
          <w:p>
            <w:r>
              <w:t>66 500</w:t>
            </w:r>
          </w:p>
        </w:tc>
        <w:tc>
          <w:tcPr>
            <w:tcW w:type="dxa" w:w="2160"/>
          </w:tcPr>
          <w:p>
            <w:r>
              <w:t>76 000</w:t>
            </w:r>
          </w:p>
        </w:tc>
      </w:tr>
      <w:tr>
        <w:tc>
          <w:tcPr>
            <w:tcW w:type="dxa" w:w="2160"/>
          </w:tcPr>
          <w:p>
            <w:r>
              <w:t>Charges de personnel</w:t>
            </w:r>
          </w:p>
        </w:tc>
        <w:tc>
          <w:tcPr>
            <w:tcW w:type="dxa" w:w="2160"/>
          </w:tcPr>
          <w:p>
            <w:r>
              <w:t>38 000</w:t>
            </w:r>
          </w:p>
        </w:tc>
        <w:tc>
          <w:tcPr>
            <w:tcW w:type="dxa" w:w="2160"/>
          </w:tcPr>
          <w:p>
            <w:r>
              <w:t>42 000</w:t>
            </w:r>
          </w:p>
        </w:tc>
        <w:tc>
          <w:tcPr>
            <w:tcW w:type="dxa" w:w="2160"/>
          </w:tcPr>
          <w:p>
            <w:r>
              <w:t>46 000</w:t>
            </w:r>
          </w:p>
        </w:tc>
      </w:tr>
      <w:tr>
        <w:tc>
          <w:tcPr>
            <w:tcW w:type="dxa" w:w="2160"/>
          </w:tcPr>
          <w:p>
            <w:r>
              <w:t>Autres charges d'exploitation</w:t>
            </w:r>
          </w:p>
        </w:tc>
        <w:tc>
          <w:tcPr>
            <w:tcW w:type="dxa" w:w="2160"/>
          </w:tcPr>
          <w:p>
            <w:r>
              <w:t>27 000</w:t>
            </w:r>
          </w:p>
        </w:tc>
        <w:tc>
          <w:tcPr>
            <w:tcW w:type="dxa" w:w="2160"/>
          </w:tcPr>
          <w:p>
            <w:r>
              <w:t>29 000</w:t>
            </w:r>
          </w:p>
        </w:tc>
        <w:tc>
          <w:tcPr>
            <w:tcW w:type="dxa" w:w="2160"/>
          </w:tcPr>
          <w:p>
            <w:r>
              <w:t>30 000</w:t>
            </w:r>
          </w:p>
        </w:tc>
      </w:tr>
      <w:tr>
        <w:tc>
          <w:tcPr>
            <w:tcW w:type="dxa" w:w="2160"/>
          </w:tcPr>
          <w:p>
            <w:r>
              <w:t>Dotations aux amortissements</w:t>
            </w:r>
          </w:p>
        </w:tc>
        <w:tc>
          <w:tcPr>
            <w:tcW w:type="dxa" w:w="2160"/>
          </w:tcPr>
          <w:p>
            <w:r>
              <w:t>8 000</w:t>
            </w:r>
          </w:p>
        </w:tc>
        <w:tc>
          <w:tcPr>
            <w:tcW w:type="dxa" w:w="2160"/>
          </w:tcPr>
          <w:p>
            <w:r>
              <w:t>8 000</w:t>
            </w:r>
          </w:p>
        </w:tc>
        <w:tc>
          <w:tcPr>
            <w:tcW w:type="dxa" w:w="2160"/>
          </w:tcPr>
          <w:p>
            <w:r>
              <w:t>8 000</w:t>
            </w:r>
          </w:p>
        </w:tc>
      </w:tr>
      <w:tr>
        <w:tc>
          <w:tcPr>
            <w:tcW w:type="dxa" w:w="2160"/>
          </w:tcPr>
          <w:p>
            <w:r>
              <w:t>Charges financières</w:t>
            </w:r>
          </w:p>
        </w:tc>
        <w:tc>
          <w:tcPr>
            <w:tcW w:type="dxa" w:w="2160"/>
          </w:tcPr>
          <w:p>
            <w:r>
              <w:t>5 000</w:t>
            </w:r>
          </w:p>
        </w:tc>
        <w:tc>
          <w:tcPr>
            <w:tcW w:type="dxa" w:w="2160"/>
          </w:tcPr>
          <w:p>
            <w:r>
              <w:t>4 000</w:t>
            </w:r>
          </w:p>
        </w:tc>
        <w:tc>
          <w:tcPr>
            <w:tcW w:type="dxa" w:w="2160"/>
          </w:tcPr>
          <w:p>
            <w:r>
              <w:t>3 000</w:t>
            </w:r>
          </w:p>
        </w:tc>
      </w:tr>
      <w:tr>
        <w:tc>
          <w:tcPr>
            <w:tcW w:type="dxa" w:w="2160"/>
          </w:tcPr>
          <w:p>
            <w:r>
              <w:t>Impôt sur les sociétés</w:t>
            </w:r>
          </w:p>
        </w:tc>
        <w:tc>
          <w:tcPr>
            <w:tcW w:type="dxa" w:w="2160"/>
          </w:tcPr>
          <w:p>
            <w:r>
              <w:t>1 760</w:t>
            </w:r>
          </w:p>
        </w:tc>
        <w:tc>
          <w:tcPr>
            <w:tcW w:type="dxa" w:w="2160"/>
          </w:tcPr>
          <w:p>
            <w:r>
              <w:t>5 100</w:t>
            </w:r>
          </w:p>
        </w:tc>
        <w:tc>
          <w:tcPr>
            <w:tcW w:type="dxa" w:w="2160"/>
          </w:tcPr>
          <w:p>
            <w:r>
              <w:t>7 400</w:t>
            </w:r>
          </w:p>
        </w:tc>
      </w:tr>
      <w:tr>
        <w:tc>
          <w:tcPr>
            <w:tcW w:type="dxa" w:w="2160"/>
          </w:tcPr>
          <w:p>
            <w:r>
              <w:t>Résultat net</w:t>
            </w:r>
          </w:p>
        </w:tc>
        <w:tc>
          <w:tcPr>
            <w:tcW w:type="dxa" w:w="2160"/>
          </w:tcPr>
          <w:p>
            <w:r>
              <w:t>7 040</w:t>
            </w:r>
          </w:p>
        </w:tc>
        <w:tc>
          <w:tcPr>
            <w:tcW w:type="dxa" w:w="2160"/>
          </w:tcPr>
          <w:p>
            <w:r>
              <w:t>20 400</w:t>
            </w:r>
          </w:p>
        </w:tc>
        <w:tc>
          <w:tcPr>
            <w:tcW w:type="dxa" w:w="2160"/>
          </w:tcPr>
          <w:p>
            <w:r>
              <w:t>29 600</w:t>
            </w:r>
          </w:p>
        </w:tc>
      </w:tr>
    </w:tbl>
    <w:p/>
    <w:p>
      <w:pPr>
        <w:pStyle w:val="Heading1"/>
      </w:pPr>
      <w:r>
        <w:t>Risques</w:t>
      </w:r>
    </w:p>
    <w:p>
      <w:r>
        <w:t>Hausse du prix de la farine et du sucre : nous suivons les prix et ajustons les tarifs des pâtisseries. Une absence du chef de production : un des boulangers est formé pour le remplacer. Concurrence : si un concurrent copie la pâtisserie, nous misons sur la qualité et la commande personnalisée.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