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Agence de marketing digital pour PME (Tunis)</w:t>
      </w:r>
    </w:p>
    <w:p>
      <w:pPr>
        <w:pStyle w:val="Heading1"/>
      </w:pPr>
      <w:r>
        <w:t>Présentation du projet</w:t>
      </w:r>
    </w:p>
    <w:p>
      <w:r>
        <w:t>Création d'une agence qui gère la présence en ligne des PME : sites, réseaux sociaux, publicité en ligne. Investissement de 40 000 TND.</w:t>
      </w:r>
    </w:p>
    <w:p>
      <w:pPr>
        <w:pStyle w:val="Heading1"/>
      </w:pPr>
      <w:r>
        <w:t>Les promoteurs</w:t>
      </w:r>
    </w:p>
    <w:p>
      <w:r>
        <w:t>Amine L., diplômé en communication, trois ans d'expérience dans une agence de Tunis. Rim D., graphiste indépendante depuis cinq ans.</w:t>
      </w:r>
    </w:p>
    <w:p>
      <w:pPr>
        <w:pStyle w:val="Heading1"/>
      </w:pPr>
      <w:r>
        <w:t>Étude de marché</w:t>
      </w:r>
    </w:p>
    <w:p>
      <w:r>
        <w:t>Toutes les PME tunisiennes ont besoin de visibilité en ligne. Le marché de la publicité numérique croît fortement. Il existe de nombreuses agences, mais beaucoup sont chères ou peu réactives.</w:t>
      </w:r>
    </w:p>
    <w:p>
      <w:pPr>
        <w:pStyle w:val="Heading1"/>
      </w:pPr>
      <w:r>
        <w:t>Plan marketing</w:t>
      </w:r>
    </w:p>
    <w:p>
      <w:r>
        <w:t>Forfaits mensuels de 600 à 1 800 TND. Prospection directe, recommandations et partenariats avec des experts-comptables. Deux clients actuels de Rim ont accepté de signer.</w:t>
      </w:r>
    </w:p>
    <w:p>
      <w:pPr>
        <w:pStyle w:val="Heading1"/>
      </w:pPr>
      <w:r>
        <w:t>Plan de financement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Emplois</w:t>
            </w:r>
          </w:p>
        </w:tc>
        <w:tc>
          <w:tcPr>
            <w:tcW w:type="dxa" w:w="2160"/>
          </w:tcPr>
          <w:p>
            <w:r>
              <w:t>Montant (TND)</w:t>
            </w:r>
          </w:p>
        </w:tc>
        <w:tc>
          <w:tcPr>
            <w:tcW w:type="dxa" w:w="2160"/>
          </w:tcPr>
          <w:p>
            <w:r>
              <w:t>Ressources</w:t>
            </w:r>
          </w:p>
        </w:tc>
        <w:tc>
          <w:tcPr>
            <w:tcW w:type="dxa" w:w="2160"/>
          </w:tcPr>
          <w:p>
            <w:r>
              <w:t>Montant (TND)</w:t>
            </w:r>
          </w:p>
        </w:tc>
      </w:tr>
      <w:tr>
        <w:tc>
          <w:tcPr>
            <w:tcW w:type="dxa" w:w="2160"/>
          </w:tcPr>
          <w:p>
            <w:r>
              <w:t>Matériel informatique</w:t>
            </w:r>
          </w:p>
        </w:tc>
        <w:tc>
          <w:tcPr>
            <w:tcW w:type="dxa" w:w="2160"/>
          </w:tcPr>
          <w:p>
            <w:r>
              <w:t>15 000</w:t>
            </w:r>
          </w:p>
        </w:tc>
        <w:tc>
          <w:tcPr>
            <w:tcW w:type="dxa" w:w="2160"/>
          </w:tcPr>
          <w:p>
            <w:r>
              <w:t>Apport personnel</w:t>
            </w:r>
          </w:p>
        </w:tc>
        <w:tc>
          <w:tcPr>
            <w:tcW w:type="dxa" w:w="2160"/>
          </w:tcPr>
          <w:p>
            <w:r>
              <w:t>40 000</w:t>
            </w:r>
          </w:p>
        </w:tc>
      </w:tr>
      <w:tr>
        <w:tc>
          <w:tcPr>
            <w:tcW w:type="dxa" w:w="2160"/>
          </w:tcPr>
          <w:p>
            <w:r>
              <w:t>Licences et outils</w:t>
            </w:r>
          </w:p>
        </w:tc>
        <w:tc>
          <w:tcPr>
            <w:tcW w:type="dxa" w:w="2160"/>
          </w:tcPr>
          <w:p>
            <w:r>
              <w:t>5 000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Fonds de roulement</w:t>
            </w:r>
          </w:p>
        </w:tc>
        <w:tc>
          <w:tcPr>
            <w:tcW w:type="dxa" w:w="2160"/>
          </w:tcPr>
          <w:p>
            <w:r>
              <w:t>20 000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emplois</w:t>
            </w:r>
          </w:p>
        </w:tc>
        <w:tc>
          <w:tcPr>
            <w:tcW w:type="dxa" w:w="2160"/>
          </w:tcPr>
          <w:p>
            <w:r>
              <w:t>40 000</w:t>
            </w:r>
          </w:p>
        </w:tc>
        <w:tc>
          <w:tcPr>
            <w:tcW w:type="dxa" w:w="2160"/>
          </w:tcPr>
          <w:p>
            <w:r>
              <w:t>Total ressources</w:t>
            </w:r>
          </w:p>
        </w:tc>
        <w:tc>
          <w:tcPr>
            <w:tcW w:type="dxa" w:w="2160"/>
          </w:tcPr>
          <w:p>
            <w:r>
              <w:t>40 000</w:t>
            </w:r>
          </w:p>
        </w:tc>
      </w:tr>
    </w:tbl>
    <w:p/>
    <w:p>
      <w:pPr>
        <w:pStyle w:val="Heading1"/>
      </w:pPr>
      <w:r>
        <w:t>Prévisions financières</w:t>
      </w:r>
    </w:p>
    <w:p>
      <w:r>
        <w:t>Nous visons 12 clients la première année, 30 la deuxième et 60 la troisième.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Année 1</w:t>
            </w:r>
          </w:p>
        </w:tc>
        <w:tc>
          <w:tcPr>
            <w:tcW w:type="dxa" w:w="2160"/>
          </w:tcPr>
          <w:p>
            <w:r>
              <w:t>Année 2</w:t>
            </w:r>
          </w:p>
        </w:tc>
        <w:tc>
          <w:tcPr>
            <w:tcW w:type="dxa" w:w="2160"/>
          </w:tcPr>
          <w:p>
            <w:r>
              <w:t>Année 3</w:t>
            </w:r>
          </w:p>
        </w:tc>
      </w:tr>
      <w:tr>
        <w:tc>
          <w:tcPr>
            <w:tcW w:type="dxa" w:w="2160"/>
          </w:tcPr>
          <w:p>
            <w:r>
              <w:t>Chiffre d'affaires</w:t>
            </w:r>
          </w:p>
        </w:tc>
        <w:tc>
          <w:tcPr>
            <w:tcW w:type="dxa" w:w="2160"/>
          </w:tcPr>
          <w:p>
            <w:r>
              <w:t>78 000</w:t>
            </w:r>
          </w:p>
        </w:tc>
        <w:tc>
          <w:tcPr>
            <w:tcW w:type="dxa" w:w="2160"/>
          </w:tcPr>
          <w:p>
            <w:r>
              <w:t>195 000</w:t>
            </w:r>
          </w:p>
        </w:tc>
        <w:tc>
          <w:tcPr>
            <w:tcW w:type="dxa" w:w="2160"/>
          </w:tcPr>
          <w:p>
            <w:r>
              <w:t>390 000</w:t>
            </w:r>
          </w:p>
        </w:tc>
      </w:tr>
      <w:tr>
        <w:tc>
          <w:tcPr>
            <w:tcW w:type="dxa" w:w="2160"/>
          </w:tcPr>
          <w:p>
            <w:r>
              <w:t>Achats consommés</w:t>
            </w:r>
          </w:p>
        </w:tc>
        <w:tc>
          <w:tcPr>
            <w:tcW w:type="dxa" w:w="2160"/>
          </w:tcPr>
          <w:p>
            <w:r>
              <w:t>10 000</w:t>
            </w:r>
          </w:p>
        </w:tc>
        <w:tc>
          <w:tcPr>
            <w:tcW w:type="dxa" w:w="2160"/>
          </w:tcPr>
          <w:p>
            <w:r>
              <w:t>25 000</w:t>
            </w:r>
          </w:p>
        </w:tc>
        <w:tc>
          <w:tcPr>
            <w:tcW w:type="dxa" w:w="2160"/>
          </w:tcPr>
          <w:p>
            <w:r>
              <w:t>50 000</w:t>
            </w:r>
          </w:p>
        </w:tc>
      </w:tr>
      <w:tr>
        <w:tc>
          <w:tcPr>
            <w:tcW w:type="dxa" w:w="2160"/>
          </w:tcPr>
          <w:p>
            <w:r>
              <w:t>Charges de personnel</w:t>
            </w:r>
          </w:p>
        </w:tc>
        <w:tc>
          <w:tcPr>
            <w:tcW w:type="dxa" w:w="2160"/>
          </w:tcPr>
          <w:p>
            <w:r>
              <w:t>36 000</w:t>
            </w:r>
          </w:p>
        </w:tc>
        <w:tc>
          <w:tcPr>
            <w:tcW w:type="dxa" w:w="2160"/>
          </w:tcPr>
          <w:p>
            <w:r>
              <w:t>85 000</w:t>
            </w:r>
          </w:p>
        </w:tc>
        <w:tc>
          <w:tcPr>
            <w:tcW w:type="dxa" w:w="2160"/>
          </w:tcPr>
          <w:p>
            <w:r>
              <w:t>160 000</w:t>
            </w:r>
          </w:p>
        </w:tc>
      </w:tr>
      <w:tr>
        <w:tc>
          <w:tcPr>
            <w:tcW w:type="dxa" w:w="2160"/>
          </w:tcPr>
          <w:p>
            <w:r>
              <w:t>Autres charges d'exploitation</w:t>
            </w:r>
          </w:p>
        </w:tc>
        <w:tc>
          <w:tcPr>
            <w:tcW w:type="dxa" w:w="2160"/>
          </w:tcPr>
          <w:p>
            <w:r>
              <w:t>15 000</w:t>
            </w:r>
          </w:p>
        </w:tc>
        <w:tc>
          <w:tcPr>
            <w:tcW w:type="dxa" w:w="2160"/>
          </w:tcPr>
          <w:p>
            <w:r>
              <w:t>30 000</w:t>
            </w:r>
          </w:p>
        </w:tc>
        <w:tc>
          <w:tcPr>
            <w:tcW w:type="dxa" w:w="2160"/>
          </w:tcPr>
          <w:p>
            <w:r>
              <w:t>55 000</w:t>
            </w:r>
          </w:p>
        </w:tc>
      </w:tr>
      <w:tr>
        <w:tc>
          <w:tcPr>
            <w:tcW w:type="dxa" w:w="2160"/>
          </w:tcPr>
          <w:p>
            <w:r>
              <w:t>Dotations aux amortissements</w:t>
            </w:r>
          </w:p>
        </w:tc>
        <w:tc>
          <w:tcPr>
            <w:tcW w:type="dxa" w:w="2160"/>
          </w:tcPr>
          <w:p>
            <w:r>
              <w:t>5 000</w:t>
            </w:r>
          </w:p>
        </w:tc>
        <w:tc>
          <w:tcPr>
            <w:tcW w:type="dxa" w:w="2160"/>
          </w:tcPr>
          <w:p>
            <w:r>
              <w:t>5 000</w:t>
            </w:r>
          </w:p>
        </w:tc>
        <w:tc>
          <w:tcPr>
            <w:tcW w:type="dxa" w:w="2160"/>
          </w:tcPr>
          <w:p>
            <w:r>
              <w:t>5 000</w:t>
            </w:r>
          </w:p>
        </w:tc>
      </w:tr>
      <w:tr>
        <w:tc>
          <w:tcPr>
            <w:tcW w:type="dxa" w:w="2160"/>
          </w:tcPr>
          <w:p>
            <w:r>
              <w:t>Charges financières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Impôt sur les sociétés</w:t>
            </w:r>
          </w:p>
        </w:tc>
        <w:tc>
          <w:tcPr>
            <w:tcW w:type="dxa" w:w="2160"/>
          </w:tcPr>
          <w:p>
            <w:r>
              <w:t>2 400</w:t>
            </w:r>
          </w:p>
        </w:tc>
        <w:tc>
          <w:tcPr>
            <w:tcW w:type="dxa" w:w="2160"/>
          </w:tcPr>
          <w:p>
            <w:r>
              <w:t>10 000</w:t>
            </w:r>
          </w:p>
        </w:tc>
        <w:tc>
          <w:tcPr>
            <w:tcW w:type="dxa" w:w="2160"/>
          </w:tcPr>
          <w:p>
            <w:r>
              <w:t>24 000</w:t>
            </w:r>
          </w:p>
        </w:tc>
      </w:tr>
      <w:tr>
        <w:tc>
          <w:tcPr>
            <w:tcW w:type="dxa" w:w="2160"/>
          </w:tcPr>
          <w:p>
            <w:r>
              <w:t>Résultat net</w:t>
            </w:r>
          </w:p>
        </w:tc>
        <w:tc>
          <w:tcPr>
            <w:tcW w:type="dxa" w:w="2160"/>
          </w:tcPr>
          <w:p>
            <w:r>
              <w:t>9 600</w:t>
            </w:r>
          </w:p>
        </w:tc>
        <w:tc>
          <w:tcPr>
            <w:tcW w:type="dxa" w:w="2160"/>
          </w:tcPr>
          <w:p>
            <w:r>
              <w:t>40 000</w:t>
            </w:r>
          </w:p>
        </w:tc>
        <w:tc>
          <w:tcPr>
            <w:tcW w:type="dxa" w:w="2160"/>
          </w:tcPr>
          <w:p>
            <w:r>
              <w:t>96 000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