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QuantumYield Capital - Guaranteed crypto arbitrage returns</w:t>
      </w:r>
    </w:p>
    <w:p>
      <w:pPr>
        <w:pStyle w:val="Heading2"/>
      </w:pPr>
      <w:r>
        <w:t xml:space="preserve">Executive Summary</w:t>
      </w:r>
    </w:p>
    <w:p>
      <w:pPr>
        <w:spacing w:after="120"/>
      </w:pPr>
      <w:r>
        <w:rPr>
          <w:sz w:val="22"/>
          <w:szCs w:val="22"/>
        </w:rPr>
        <w:t xml:space="preserve">QuantumYield uses a proprietary AI arbitrage engine to deliver guaranteed returns of 8 percent per week to investors, with zero risk of loss.</w:t>
      </w:r>
    </w:p>
    <w:p>
      <w:pPr>
        <w:pStyle w:val="Heading2"/>
      </w:pPr>
      <w:r>
        <w:t xml:space="preserve">Problem</w:t>
      </w:r>
    </w:p>
    <w:p>
      <w:pPr>
        <w:spacing w:after="120"/>
      </w:pPr>
      <w:r>
        <w:rPr>
          <w:sz w:val="22"/>
          <w:szCs w:val="22"/>
        </w:rPr>
        <w:t xml:space="preserve">Traditional investments offer low returns. Our system captures price differences across exchanges that ordinary investors cannot access.</w:t>
      </w:r>
    </w:p>
    <w:p>
      <w:pPr>
        <w:pStyle w:val="Heading2"/>
      </w:pPr>
      <w:r>
        <w:t xml:space="preserve">Market</w:t>
      </w:r>
    </w:p>
    <w:p>
      <w:pPr>
        <w:spacing w:after="120"/>
      </w:pPr>
      <w:r>
        <w:rPr>
          <w:sz w:val="22"/>
          <w:szCs w:val="22"/>
        </w:rPr>
        <w:t xml:space="preserve">Open to all investors worldwide. Minimum deposit is 500 USD.</w:t>
      </w:r>
    </w:p>
    <w:p>
      <w:pPr>
        <w:pStyle w:val="Heading2"/>
      </w:pPr>
      <w:r>
        <w:t xml:space="preserve">Business Model</w:t>
      </w:r>
    </w:p>
    <w:p>
      <w:pPr>
        <w:spacing w:after="120"/>
      </w:pPr>
      <w:r>
        <w:rPr>
          <w:sz w:val="22"/>
          <w:szCs w:val="22"/>
        </w:rPr>
        <w:t xml:space="preserve">Investors deposit funds into our pooled wallet. We pay weekly returns of 8 percent. Investors earn bonus 10 percent commission for every new investor they refer, and referral bonuses stack up to 5 levels. Withdrawals of principal are available after 12 months.</w:t>
      </w:r>
    </w:p>
    <w:p>
      <w:pPr>
        <w:pStyle w:val="Heading2"/>
      </w:pPr>
      <w:r>
        <w:t xml:space="preserve">Financials &amp; Funding Ask</w:t>
      </w:r>
    </w:p>
    <w:p>
      <w:pPr>
        <w:spacing w:after="120"/>
      </w:pPr>
      <w:r>
        <w:rPr>
          <w:sz w:val="22"/>
          <w:szCs w:val="22"/>
        </w:rPr>
        <w:t xml:space="preserve">Past performance: 412 percent annualized with no losing weeks (statements available upon deposit). Our algorithm is proprietary and cannot be disclosed or audited. We are not registered with any financial regulator because our technology falls outside existing regulation.</w:t>
      </w:r>
    </w:p>
    <w:p>
      <w:pPr>
        <w:pStyle w:val="Heading2"/>
      </w:pPr>
      <w:r>
        <w:t xml:space="preserve">Team</w:t>
      </w:r>
    </w:p>
    <w:p>
      <w:pPr>
        <w:spacing w:after="120"/>
      </w:pPr>
      <w:r>
        <w:rPr>
          <w:sz w:val="22"/>
          <w:szCs w:val="22"/>
        </w:rPr>
        <w:t xml:space="preserve">Our founder, known only as 'Mr. Q', is a former Wall Street quant. Names and credentials cannot be shared for security reasons.</w:t>
      </w:r>
    </w:p>
    <w:p>
      <w:pPr>
        <w:pStyle w:val="Heading2"/>
      </w:pPr>
      <w:r>
        <w:t xml:space="preserve">Risks</w:t>
      </w:r>
    </w:p>
    <w:p>
      <w:pPr>
        <w:spacing w:after="120"/>
      </w:pPr>
      <w:r>
        <w:rPr>
          <w:sz w:val="22"/>
          <w:szCs w:val="22"/>
        </w:rPr>
        <w:t xml:space="preserve">None. Our returns are guaranteed. Limited spots are available; the offer closes in 72 hours.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36"/>
      <w:szCs w:val="36"/>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60" w:before="16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2026-10-11T10:02:20.138Z</dcterms:created>
  <dcterms:modified xsi:type="dcterms:W3CDTF">2026-10-11T10:02:20.138Z</dcterms:modified>
</cp:coreProperties>
</file>

<file path=docProps/custom.xml><?xml version="1.0" encoding="utf-8"?>
<Properties xmlns="http://schemas.openxmlformats.org/officeDocument/2006/custom-properties" xmlns:vt="http://schemas.openxmlformats.org/officeDocument/2006/docPropsVTypes"/>
</file>