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VitaScan Medical - Non-invasive glucose monitor</w:t>
      </w:r>
    </w:p>
    <w:p>
      <w:pPr>
        <w:pStyle w:val="Heading2"/>
      </w:pPr>
      <w:r>
        <w:t xml:space="preserve">Executive Summary</w:t>
      </w:r>
    </w:p>
    <w:p>
      <w:pPr>
        <w:spacing w:after="120"/>
      </w:pPr>
      <w:r>
        <w:rPr>
          <w:sz w:val="22"/>
          <w:szCs w:val="22"/>
        </w:rPr>
        <w:t xml:space="preserve">VitaScan is a smartwatch-sized device that measures blood glucose with 99.8 percent accuracy without a finger prick. We have received FDA clearance and have 14,000 units pre-sold to hospitals.</w:t>
      </w:r>
    </w:p>
    <w:p>
      <w:pPr>
        <w:pStyle w:val="Heading2"/>
      </w:pPr>
      <w:r>
        <w:t xml:space="preserve">Problem</w:t>
      </w:r>
    </w:p>
    <w:p>
      <w:pPr>
        <w:spacing w:after="120"/>
      </w:pPr>
      <w:r>
        <w:rPr>
          <w:sz w:val="22"/>
          <w:szCs w:val="22"/>
        </w:rPr>
        <w:t xml:space="preserve">Diabetics must prick their fingers multiple times a day. Non-invasive glucose monitoring is a long-sought goal.</w:t>
      </w:r>
    </w:p>
    <w:p>
      <w:pPr>
        <w:pStyle w:val="Heading2"/>
      </w:pPr>
      <w:r>
        <w:t xml:space="preserve">Market</w:t>
      </w:r>
    </w:p>
    <w:p>
      <w:pPr>
        <w:spacing w:after="120"/>
      </w:pPr>
      <w:r>
        <w:rPr>
          <w:sz w:val="22"/>
          <w:szCs w:val="22"/>
        </w:rPr>
        <w:t xml:space="preserve">537 million adults live with diabetes worldwide. Pre-orders are from 14 major hospital networks (names confidential under NDA).</w:t>
      </w:r>
    </w:p>
    <w:p>
      <w:pPr>
        <w:pStyle w:val="Heading2"/>
      </w:pPr>
      <w:r>
        <w:t xml:space="preserve">Business Model</w:t>
      </w:r>
    </w:p>
    <w:p>
      <w:pPr>
        <w:spacing w:after="120"/>
      </w:pPr>
      <w:r>
        <w:rPr>
          <w:sz w:val="22"/>
          <w:szCs w:val="22"/>
        </w:rPr>
        <w:t xml:space="preserve">Device sells for 399 USD with 20 USD/month data subscription. Pre-sold orders total 5.6M USD, which we will recognize as revenue next quarter.</w:t>
      </w:r>
    </w:p>
    <w:p>
      <w:pPr>
        <w:pStyle w:val="Heading2"/>
      </w:pPr>
      <w:r>
        <w:t xml:space="preserve">Financials &amp; Funding Ask</w:t>
      </w:r>
    </w:p>
    <w:p>
      <w:pPr>
        <w:spacing w:after="120"/>
      </w:pPr>
      <w:r>
        <w:rPr>
          <w:sz w:val="22"/>
          <w:szCs w:val="22"/>
        </w:rPr>
        <w:t xml:space="preserve">Raising 8M USD in a seed round to begin manufacturing. FDA clearance number is pending publication; a copy of the letter can be provided to investors after wire transfer of an exclusivity deposit of 25,000 USD. Clinical results are summarized in an internal document and have not been peer-reviewed. Our demo uses a prototype device; the screen was pre-programmed for demonstration purposes.</w:t>
      </w:r>
    </w:p>
    <w:p>
      <w:pPr>
        <w:pStyle w:val="Heading2"/>
      </w:pPr>
      <w:r>
        <w:t xml:space="preserve">Team</w:t>
      </w:r>
    </w:p>
    <w:p>
      <w:pPr>
        <w:spacing w:after="120"/>
      </w:pPr>
      <w:r>
        <w:rPr>
          <w:sz w:val="22"/>
          <w:szCs w:val="22"/>
        </w:rPr>
        <w:t xml:space="preserve">CEO holds an MD and PhD from a leading university and was previously a Chief Scientist at a major medical-device company (we cannot name the employer). Chief Medical Officer is a Nobel-nominated researcher.</w:t>
      </w:r>
    </w:p>
    <w:p>
      <w:pPr>
        <w:pStyle w:val="Heading2"/>
      </w:pPr>
      <w:r>
        <w:t xml:space="preserve">Risks</w:t>
      </w:r>
    </w:p>
    <w:p>
      <w:pPr>
        <w:spacing w:after="120"/>
      </w:pPr>
      <w:r>
        <w:rPr>
          <w:sz w:val="22"/>
          <w:szCs w:val="22"/>
        </w:rPr>
        <w:t xml:space="preserve">Competitors may attempt to copy our technology. We ask investors not to conduct independent verification, as this could jeopardize our NDAs.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sz w:val="36"/>
      <w:szCs w:val="36"/>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60" w:before="16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2026-10-11T10:02:20.149Z</dcterms:created>
  <dcterms:modified xsi:type="dcterms:W3CDTF">2026-10-11T10:02:20.149Z</dcterms:modified>
</cp:coreProperties>
</file>

<file path=docProps/custom.xml><?xml version="1.0" encoding="utf-8"?>
<Properties xmlns="http://schemas.openxmlformats.org/officeDocument/2006/custom-properties" xmlns:vt="http://schemas.openxmlformats.org/officeDocument/2006/docPropsVTypes"/>
</file>