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Valorisation des déchets plastiques (Ben Arous)</w:t>
      </w:r>
    </w:p>
    <w:p>
      <w:pPr>
        <w:pStyle w:val="Heading1"/>
      </w:pPr>
      <w:r>
        <w:t>Présentation du projet</w:t>
      </w:r>
    </w:p>
    <w:p>
      <w:r>
        <w:t>Société de recyclage de plastique PEHD et PP qui transforme des déchets collectés en granulés vendus à des fabricants de tuyaux et de caisses. Investissement de 600 000 TND. Capacité : 40 tonnes de granulés par mois.</w:t>
      </w:r>
    </w:p>
    <w:p>
      <w:pPr>
        <w:pStyle w:val="Heading1"/>
      </w:pPr>
      <w:r>
        <w:t>Les promoteurs</w:t>
      </w:r>
    </w:p>
    <w:p>
      <w:r>
        <w:t>Mourad S., ingénieur en génie des procédés, a travaillé six ans dans une usine de transformation du plastique à Ben Arous. Leila K., experte-comptable, assure la gestion et la relation avec la banque. Un troisième associé, collecteur de déchets depuis dix ans, garantit l'approvisionnement.</w:t>
      </w:r>
    </w:p>
    <w:p>
      <w:pPr>
        <w:pStyle w:val="Heading1"/>
      </w:pPr>
      <w:r>
        <w:t>Étude de marché</w:t>
      </w:r>
    </w:p>
    <w:p>
      <w:r>
        <w:t>Trois fabricants de tuyaux et de caisses de la zone nous ont remis des lettres d'intention pour 22 tonnes par mois au total, à un prix de 2,9 TND le kilo de granulés, contre 3,6 TND pour le granulé vierge importé. Le collecteur associé s'engage à livrer 60 tonnes de déchets par mois à 1,1 TND le kilo. Il existe deux recycleurs dans le pays; ils tournent à pleine capacité selon les visites que nous avons faites.</w:t>
      </w:r>
    </w:p>
    <w:p>
      <w:pPr>
        <w:pStyle w:val="Heading1"/>
      </w:pPr>
      <w:r>
        <w:t>Moyens de production et ressources humaines</w:t>
      </w:r>
    </w:p>
    <w:p>
      <w:r>
        <w:t>Un hangar de 600 m² à Ben Arous (loyer de 3 500 TND par mois) et une ligne complète de lavage et d'extrusion dont nous avons deux devis. Douze personnes dès l'année 1; le salaire brut moyen est de 1 000 TND.</w:t>
      </w:r>
    </w:p>
    <w:p>
      <w:pPr>
        <w:pStyle w:val="Heading1"/>
      </w:pPr>
      <w:r>
        <w:t>Plan d'investissement et de financement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Emplois</w:t>
            </w:r>
          </w:p>
        </w:tc>
        <w:tc>
          <w:tcPr>
            <w:tcW w:type="dxa" w:w="2160"/>
          </w:tcPr>
          <w:p>
            <w:r>
              <w:t>Montant (TND)</w:t>
            </w:r>
          </w:p>
        </w:tc>
        <w:tc>
          <w:tcPr>
            <w:tcW w:type="dxa" w:w="2160"/>
          </w:tcPr>
          <w:p>
            <w:r>
              <w:t>Ressources</w:t>
            </w:r>
          </w:p>
        </w:tc>
        <w:tc>
          <w:tcPr>
            <w:tcW w:type="dxa" w:w="2160"/>
          </w:tcPr>
          <w:p>
            <w:r>
              <w:t>Montant (TND)</w:t>
            </w:r>
          </w:p>
        </w:tc>
      </w:tr>
      <w:tr>
        <w:tc>
          <w:tcPr>
            <w:tcW w:type="dxa" w:w="2160"/>
          </w:tcPr>
          <w:p>
            <w:r>
              <w:t>Ligne de lavage, broyage et extrusion</w:t>
            </w:r>
          </w:p>
        </w:tc>
        <w:tc>
          <w:tcPr>
            <w:tcW w:type="dxa" w:w="2160"/>
          </w:tcPr>
          <w:p>
            <w:r>
              <w:t>380 000</w:t>
            </w:r>
          </w:p>
        </w:tc>
        <w:tc>
          <w:tcPr>
            <w:tcW w:type="dxa" w:w="2160"/>
          </w:tcPr>
          <w:p>
            <w:r>
              <w:t>Fonds propres</w:t>
            </w:r>
          </w:p>
        </w:tc>
        <w:tc>
          <w:tcPr>
            <w:tcW w:type="dxa" w:w="2160"/>
          </w:tcPr>
          <w:p>
            <w:r>
              <w:t>150 000</w:t>
            </w:r>
          </w:p>
        </w:tc>
      </w:tr>
      <w:tr>
        <w:tc>
          <w:tcPr>
            <w:tcW w:type="dxa" w:w="2160"/>
          </w:tcPr>
          <w:p>
            <w:r>
              <w:t>Hangar et aménagements</w:t>
            </w:r>
          </w:p>
        </w:tc>
        <w:tc>
          <w:tcPr>
            <w:tcW w:type="dxa" w:w="2160"/>
          </w:tcPr>
          <w:p>
            <w:r>
              <w:t>90 000</w:t>
            </w:r>
          </w:p>
        </w:tc>
        <w:tc>
          <w:tcPr>
            <w:tcW w:type="dxa" w:w="2160"/>
          </w:tcPr>
          <w:p>
            <w:r>
              <w:t>Crédit bancaire (7 ans, taux 9,8 %)</w:t>
            </w:r>
          </w:p>
        </w:tc>
        <w:tc>
          <w:tcPr>
            <w:tcW w:type="dxa" w:w="2160"/>
          </w:tcPr>
          <w:p>
            <w:r>
              <w:t>300 000</w:t>
            </w:r>
          </w:p>
        </w:tc>
      </w:tr>
      <w:tr>
        <w:tc>
          <w:tcPr>
            <w:tcW w:type="dxa" w:w="2160"/>
          </w:tcPr>
          <w:p>
            <w:r>
              <w:t>Fonds de roulement</w:t>
            </w:r>
          </w:p>
        </w:tc>
        <w:tc>
          <w:tcPr>
            <w:tcW w:type="dxa" w:w="2160"/>
          </w:tcPr>
          <w:p>
            <w:r>
              <w:t>100 000</w:t>
            </w:r>
          </w:p>
        </w:tc>
        <w:tc>
          <w:tcPr>
            <w:tcW w:type="dxa" w:w="2160"/>
          </w:tcPr>
          <w:p>
            <w:r>
              <w:t>Prime d'investissement sollicitée</w:t>
            </w:r>
          </w:p>
        </w:tc>
        <w:tc>
          <w:tcPr>
            <w:tcW w:type="dxa" w:w="2160"/>
          </w:tcPr>
          <w:p>
            <w:r>
              <w:t>150 000</w:t>
            </w:r>
          </w:p>
        </w:tc>
      </w:tr>
      <w:tr>
        <w:tc>
          <w:tcPr>
            <w:tcW w:type="dxa" w:w="2160"/>
          </w:tcPr>
          <w:p>
            <w:r>
              <w:t>Frais d'études et de démarrage</w:t>
            </w:r>
          </w:p>
        </w:tc>
        <w:tc>
          <w:tcPr>
            <w:tcW w:type="dxa" w:w="2160"/>
          </w:tcPr>
          <w:p>
            <w:r>
              <w:t>30 000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 emplois</w:t>
            </w:r>
          </w:p>
        </w:tc>
        <w:tc>
          <w:tcPr>
            <w:tcW w:type="dxa" w:w="2160"/>
          </w:tcPr>
          <w:p>
            <w:r>
              <w:t>600 000</w:t>
            </w:r>
          </w:p>
        </w:tc>
        <w:tc>
          <w:tcPr>
            <w:tcW w:type="dxa" w:w="2160"/>
          </w:tcPr>
          <w:p>
            <w:r>
              <w:t>Total ressources</w:t>
            </w:r>
          </w:p>
        </w:tc>
        <w:tc>
          <w:tcPr>
            <w:tcW w:type="dxa" w:w="2160"/>
          </w:tcPr>
          <w:p>
            <w:r>
              <w:t>600 000</w:t>
            </w:r>
          </w:p>
        </w:tc>
      </w:tr>
    </w:tbl>
    <w:p/>
    <w:p>
      <w:pPr>
        <w:pStyle w:val="Heading1"/>
      </w:pPr>
      <w:r>
        <w:t>Prévisions financières</w:t>
      </w:r>
    </w:p>
    <w:p>
      <w:r>
        <w:t>Année 1 : montée en charge à 60 % de la capacité. Année 2 : 85 %. Année 3 : 100 %. Les déchets achetés et l'énergie représentent environ 52 % du chiffre d'affaires.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Année 1</w:t>
            </w:r>
          </w:p>
        </w:tc>
        <w:tc>
          <w:tcPr>
            <w:tcW w:type="dxa" w:w="2160"/>
          </w:tcPr>
          <w:p>
            <w:r>
              <w:t>Année 2</w:t>
            </w:r>
          </w:p>
        </w:tc>
        <w:tc>
          <w:tcPr>
            <w:tcW w:type="dxa" w:w="2160"/>
          </w:tcPr>
          <w:p>
            <w:r>
              <w:t>Année 3</w:t>
            </w:r>
          </w:p>
        </w:tc>
      </w:tr>
      <w:tr>
        <w:tc>
          <w:tcPr>
            <w:tcW w:type="dxa" w:w="2160"/>
          </w:tcPr>
          <w:p>
            <w:r>
              <w:t>Chiffre d'affaires</w:t>
            </w:r>
          </w:p>
        </w:tc>
        <w:tc>
          <w:tcPr>
            <w:tcW w:type="dxa" w:w="2160"/>
          </w:tcPr>
          <w:p>
            <w:r>
              <w:t>420 000</w:t>
            </w:r>
          </w:p>
        </w:tc>
        <w:tc>
          <w:tcPr>
            <w:tcW w:type="dxa" w:w="2160"/>
          </w:tcPr>
          <w:p>
            <w:r>
              <w:t>700 000</w:t>
            </w:r>
          </w:p>
        </w:tc>
        <w:tc>
          <w:tcPr>
            <w:tcW w:type="dxa" w:w="2160"/>
          </w:tcPr>
          <w:p>
            <w:r>
              <w:t>900 000</w:t>
            </w:r>
          </w:p>
        </w:tc>
      </w:tr>
      <w:tr>
        <w:tc>
          <w:tcPr>
            <w:tcW w:type="dxa" w:w="2160"/>
          </w:tcPr>
          <w:p>
            <w:r>
              <w:t>Achats consommés</w:t>
            </w:r>
          </w:p>
        </w:tc>
        <w:tc>
          <w:tcPr>
            <w:tcW w:type="dxa" w:w="2160"/>
          </w:tcPr>
          <w:p>
            <w:r>
              <w:t>218 000</w:t>
            </w:r>
          </w:p>
        </w:tc>
        <w:tc>
          <w:tcPr>
            <w:tcW w:type="dxa" w:w="2160"/>
          </w:tcPr>
          <w:p>
            <w:r>
              <w:t>360 000</w:t>
            </w:r>
          </w:p>
        </w:tc>
        <w:tc>
          <w:tcPr>
            <w:tcW w:type="dxa" w:w="2160"/>
          </w:tcPr>
          <w:p>
            <w:r>
              <w:t>468 000</w:t>
            </w:r>
          </w:p>
        </w:tc>
      </w:tr>
      <w:tr>
        <w:tc>
          <w:tcPr>
            <w:tcW w:type="dxa" w:w="2160"/>
          </w:tcPr>
          <w:p>
            <w:r>
              <w:t>Charges de personnel</w:t>
            </w:r>
          </w:p>
        </w:tc>
        <w:tc>
          <w:tcPr>
            <w:tcW w:type="dxa" w:w="2160"/>
          </w:tcPr>
          <w:p>
            <w:r>
              <w:t>150 000</w:t>
            </w:r>
          </w:p>
        </w:tc>
        <w:tc>
          <w:tcPr>
            <w:tcW w:type="dxa" w:w="2160"/>
          </w:tcPr>
          <w:p>
            <w:r>
              <w:t>168 000</w:t>
            </w:r>
          </w:p>
        </w:tc>
        <w:tc>
          <w:tcPr>
            <w:tcW w:type="dxa" w:w="2160"/>
          </w:tcPr>
          <w:p>
            <w:r>
              <w:t>176 000</w:t>
            </w:r>
          </w:p>
        </w:tc>
      </w:tr>
      <w:tr>
        <w:tc>
          <w:tcPr>
            <w:tcW w:type="dxa" w:w="2160"/>
          </w:tcPr>
          <w:p>
            <w:r>
              <w:t>Autres charges d'exploitation</w:t>
            </w:r>
          </w:p>
        </w:tc>
        <w:tc>
          <w:tcPr>
            <w:tcW w:type="dxa" w:w="2160"/>
          </w:tcPr>
          <w:p>
            <w:r>
              <w:t>60 000</w:t>
            </w:r>
          </w:p>
        </w:tc>
        <w:tc>
          <w:tcPr>
            <w:tcW w:type="dxa" w:w="2160"/>
          </w:tcPr>
          <w:p>
            <w:r>
              <w:t>84 000</w:t>
            </w:r>
          </w:p>
        </w:tc>
        <w:tc>
          <w:tcPr>
            <w:tcW w:type="dxa" w:w="2160"/>
          </w:tcPr>
          <w:p>
            <w:r>
              <w:t>96 000</w:t>
            </w:r>
          </w:p>
        </w:tc>
      </w:tr>
      <w:tr>
        <w:tc>
          <w:tcPr>
            <w:tcW w:type="dxa" w:w="2160"/>
          </w:tcPr>
          <w:p>
            <w:r>
              <w:t>Dotations aux amortissements</w:t>
            </w:r>
          </w:p>
        </w:tc>
        <w:tc>
          <w:tcPr>
            <w:tcW w:type="dxa" w:w="2160"/>
          </w:tcPr>
          <w:p>
            <w:r>
              <w:t>65 000</w:t>
            </w:r>
          </w:p>
        </w:tc>
        <w:tc>
          <w:tcPr>
            <w:tcW w:type="dxa" w:w="2160"/>
          </w:tcPr>
          <w:p>
            <w:r>
              <w:t>65 000</w:t>
            </w:r>
          </w:p>
        </w:tc>
        <w:tc>
          <w:tcPr>
            <w:tcW w:type="dxa" w:w="2160"/>
          </w:tcPr>
          <w:p>
            <w:r>
              <w:t>65 000</w:t>
            </w:r>
          </w:p>
        </w:tc>
      </w:tr>
      <w:tr>
        <w:tc>
          <w:tcPr>
            <w:tcW w:type="dxa" w:w="2160"/>
          </w:tcPr>
          <w:p>
            <w:r>
              <w:t>Charges financières</w:t>
            </w:r>
          </w:p>
        </w:tc>
        <w:tc>
          <w:tcPr>
            <w:tcW w:type="dxa" w:w="2160"/>
          </w:tcPr>
          <w:p>
            <w:r>
              <w:t>29 400</w:t>
            </w:r>
          </w:p>
        </w:tc>
        <w:tc>
          <w:tcPr>
            <w:tcW w:type="dxa" w:w="2160"/>
          </w:tcPr>
          <w:p>
            <w:r>
              <w:t>27 000</w:t>
            </w:r>
          </w:p>
        </w:tc>
        <w:tc>
          <w:tcPr>
            <w:tcW w:type="dxa" w:w="2160"/>
          </w:tcPr>
          <w:p>
            <w:r>
              <w:t>23 500</w:t>
            </w:r>
          </w:p>
        </w:tc>
      </w:tr>
      <w:tr>
        <w:tc>
          <w:tcPr>
            <w:tcW w:type="dxa" w:w="2160"/>
          </w:tcPr>
          <w:p>
            <w:r>
              <w:t>Impôt sur les sociétés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14 300</w:t>
            </w:r>
          </w:p>
        </w:tc>
      </w:tr>
      <w:tr>
        <w:tc>
          <w:tcPr>
            <w:tcW w:type="dxa" w:w="2160"/>
          </w:tcPr>
          <w:p>
            <w:r>
              <w:t>Résultat net</w:t>
            </w:r>
          </w:p>
        </w:tc>
        <w:tc>
          <w:tcPr>
            <w:tcW w:type="dxa" w:w="2160"/>
          </w:tcPr>
          <w:p>
            <w:r>
              <w:t>-102 400</w:t>
            </w:r>
          </w:p>
        </w:tc>
        <w:tc>
          <w:tcPr>
            <w:tcW w:type="dxa" w:w="2160"/>
          </w:tcPr>
          <w:p>
            <w:r>
              <w:t>-4 000</w:t>
            </w:r>
          </w:p>
        </w:tc>
        <w:tc>
          <w:tcPr>
            <w:tcW w:type="dxa" w:w="2160"/>
          </w:tcPr>
          <w:p>
            <w:r>
              <w:t>57 200</w:t>
            </w:r>
          </w:p>
        </w:tc>
      </w:tr>
    </w:tbl>
    <w:p/>
    <w:p>
      <w:pPr>
        <w:pStyle w:val="Heading1"/>
      </w:pPr>
      <w:r>
        <w:t>Risques</w:t>
      </w:r>
    </w:p>
    <w:p>
      <w:r>
        <w:t>Dépendance à un collecteur : un second contrat d'approvisionnement est en négociation. Variation des cours du granulé : nos contrats d'achat sont indexés pour moitié. Une panne de ligne : stock de pièces critiques et contrat de maintenance. Conformité environnementale : l'étude d'impact est en cours de dépôt auprès de l'ANPE.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