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Élevage de poulets de chair à Nabeul</w:t>
      </w:r>
    </w:p>
    <w:p>
      <w:pPr>
        <w:pStyle w:val="Heading1"/>
      </w:pPr>
      <w:r>
        <w:t>Présentation du projet</w:t>
      </w:r>
    </w:p>
    <w:p>
      <w:r>
        <w:t>Création d'une exploitation avicole de 12 000 poulets de chair par cycle, avec cinq cycles par an. Investissement total de 270 000 TND.</w:t>
      </w:r>
    </w:p>
    <w:p>
      <w:pPr>
        <w:pStyle w:val="Heading1"/>
      </w:pPr>
      <w:r>
        <w:t>Le promoteur</w:t>
      </w:r>
    </w:p>
    <w:p>
      <w:r>
        <w:t>Walid H., 44 ans, agriculteur, a travaillé comme ouvrier puis chef d'équipe dans un élevage pendant sept ans. Il possède le terrain.</w:t>
      </w:r>
    </w:p>
    <w:p>
      <w:pPr>
        <w:pStyle w:val="Heading1"/>
      </w:pPr>
      <w:r>
        <w:t>Étude de marché</w:t>
      </w:r>
    </w:p>
    <w:p>
      <w:r>
        <w:t>La demande de viande blanche est forte et régulière en Tunisie. Les abattoirs de la région achètent à des prix fixés par la filière. Nous avons un accord verbal avec un abattoir de Nabeul pour acheter la totalité de la production. Les concurrents sont les autres éleveurs de la région.</w:t>
      </w:r>
    </w:p>
    <w:p>
      <w:pPr>
        <w:pStyle w:val="Heading1"/>
      </w:pPr>
      <w:r>
        <w:t>Moyens de production et ressources humaines</w:t>
      </w:r>
    </w:p>
    <w:p>
      <w:r>
        <w:t>Un poulailler de 1 200 m² sur terrain propre, chauffage et ventilation automatiques. Trois ouvriers à temps plein.</w:t>
      </w:r>
    </w:p>
    <w:p>
      <w:pPr>
        <w:pStyle w:val="Heading1"/>
      </w:pPr>
      <w:r>
        <w:t>Plan de financement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Emplois</w:t>
            </w:r>
          </w:p>
        </w:tc>
        <w:tc>
          <w:tcPr>
            <w:tcW w:type="dxa" w:w="2160"/>
          </w:tcPr>
          <w:p>
            <w:r>
              <w:t>Montant (TND)</w:t>
            </w:r>
          </w:p>
        </w:tc>
        <w:tc>
          <w:tcPr>
            <w:tcW w:type="dxa" w:w="2160"/>
          </w:tcPr>
          <w:p>
            <w:r>
              <w:t>Ressources</w:t>
            </w:r>
          </w:p>
        </w:tc>
        <w:tc>
          <w:tcPr>
            <w:tcW w:type="dxa" w:w="2160"/>
          </w:tcPr>
          <w:p>
            <w:r>
              <w:t>Montant (TND)</w:t>
            </w:r>
          </w:p>
        </w:tc>
      </w:tr>
      <w:tr>
        <w:tc>
          <w:tcPr>
            <w:tcW w:type="dxa" w:w="2160"/>
          </w:tcPr>
          <w:p>
            <w:r>
              <w:t>Poulailler 1 200 m²</w:t>
            </w:r>
          </w:p>
        </w:tc>
        <w:tc>
          <w:tcPr>
            <w:tcW w:type="dxa" w:w="2160"/>
          </w:tcPr>
          <w:p>
            <w:r>
              <w:t>140 000</w:t>
            </w:r>
          </w:p>
        </w:tc>
        <w:tc>
          <w:tcPr>
            <w:tcW w:type="dxa" w:w="2160"/>
          </w:tcPr>
          <w:p>
            <w:r>
              <w:t>Apport personnel</w:t>
            </w:r>
          </w:p>
        </w:tc>
        <w:tc>
          <w:tcPr>
            <w:tcW w:type="dxa" w:w="2160"/>
          </w:tcPr>
          <w:p>
            <w:r>
              <w:t>90 000</w:t>
            </w:r>
          </w:p>
        </w:tc>
      </w:tr>
      <w:tr>
        <w:tc>
          <w:tcPr>
            <w:tcW w:type="dxa" w:w="2160"/>
          </w:tcPr>
          <w:p>
            <w:r>
              <w:t>Équipements (abreuvoirs, chauffage, ventilation)</w:t>
            </w:r>
          </w:p>
        </w:tc>
        <w:tc>
          <w:tcPr>
            <w:tcW w:type="dxa" w:w="2160"/>
          </w:tcPr>
          <w:p>
            <w:r>
              <w:t>60 000</w:t>
            </w:r>
          </w:p>
        </w:tc>
        <w:tc>
          <w:tcPr>
            <w:tcW w:type="dxa" w:w="2160"/>
          </w:tcPr>
          <w:p>
            <w:r>
              <w:t>Crédit bancaire (6 ans, taux 10 %)</w:t>
            </w:r>
          </w:p>
        </w:tc>
        <w:tc>
          <w:tcPr>
            <w:tcW w:type="dxa" w:w="2160"/>
          </w:tcPr>
          <w:p>
            <w:r>
              <w:t>130 000</w:t>
            </w:r>
          </w:p>
        </w:tc>
      </w:tr>
      <w:tr>
        <w:tc>
          <w:tcPr>
            <w:tcW w:type="dxa" w:w="2160"/>
          </w:tcPr>
          <w:p>
            <w:r>
              <w:t>Premier lot et aliments</w:t>
            </w:r>
          </w:p>
        </w:tc>
        <w:tc>
          <w:tcPr>
            <w:tcW w:type="dxa" w:w="2160"/>
          </w:tcPr>
          <w:p>
            <w:r>
              <w:t>45 000</w:t>
            </w:r>
          </w:p>
        </w:tc>
        <w:tc>
          <w:tcPr>
            <w:tcW w:type="dxa" w:w="2160"/>
          </w:tcPr>
          <w:p>
            <w:r>
              <w:t>Subvention agricole sollicitée</w:t>
            </w:r>
          </w:p>
        </w:tc>
        <w:tc>
          <w:tcPr>
            <w:tcW w:type="dxa" w:w="2160"/>
          </w:tcPr>
          <w:p>
            <w:r>
              <w:t>50 000</w:t>
            </w:r>
          </w:p>
        </w:tc>
      </w:tr>
      <w:tr>
        <w:tc>
          <w:tcPr>
            <w:tcW w:type="dxa" w:w="2160"/>
          </w:tcPr>
          <w:p>
            <w:r>
              <w:t>Fonds de roulement</w:t>
            </w:r>
          </w:p>
        </w:tc>
        <w:tc>
          <w:tcPr>
            <w:tcW w:type="dxa" w:w="2160"/>
          </w:tcPr>
          <w:p>
            <w:r>
              <w:t>25 000</w:t>
            </w:r>
          </w:p>
        </w:tc>
        <w:tc>
          <w:tcPr>
            <w:tcW w:type="dxa" w:w="2160"/>
          </w:tcPr>
          <w:p>
            <w:r/>
          </w:p>
        </w:tc>
        <w:tc>
          <w:tcPr>
            <w:tcW w:type="dxa" w:w="2160"/>
          </w:tcPr>
          <w:p>
            <w:r/>
          </w:p>
        </w:tc>
      </w:tr>
      <w:tr>
        <w:tc>
          <w:tcPr>
            <w:tcW w:type="dxa" w:w="2160"/>
          </w:tcPr>
          <w:p>
            <w:r>
              <w:t>Total emplois</w:t>
            </w:r>
          </w:p>
        </w:tc>
        <w:tc>
          <w:tcPr>
            <w:tcW w:type="dxa" w:w="2160"/>
          </w:tcPr>
          <w:p>
            <w:r>
              <w:t>270 000</w:t>
            </w:r>
          </w:p>
        </w:tc>
        <w:tc>
          <w:tcPr>
            <w:tcW w:type="dxa" w:w="2160"/>
          </w:tcPr>
          <w:p>
            <w:r>
              <w:t>Total ressources</w:t>
            </w:r>
          </w:p>
        </w:tc>
        <w:tc>
          <w:tcPr>
            <w:tcW w:type="dxa" w:w="2160"/>
          </w:tcPr>
          <w:p>
            <w:r>
              <w:t>270 000</w:t>
            </w:r>
          </w:p>
        </w:tc>
      </w:tr>
    </w:tbl>
    <w:p/>
    <w:p>
      <w:pPr>
        <w:pStyle w:val="Heading1"/>
      </w:pPr>
      <w:r>
        <w:t>Prévisions financières</w:t>
      </w:r>
    </w:p>
    <w:p>
      <w:r>
        <w:t>Le prix de vente moyen est de 5,2 TND le kilo vif. Nous prévoyons 5 cycles par an à 12 000 poulets de 2,3 kg.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Année 1</w:t>
            </w:r>
          </w:p>
        </w:tc>
        <w:tc>
          <w:tcPr>
            <w:tcW w:type="dxa" w:w="2160"/>
          </w:tcPr>
          <w:p>
            <w:r>
              <w:t>Année 2</w:t>
            </w:r>
          </w:p>
        </w:tc>
        <w:tc>
          <w:tcPr>
            <w:tcW w:type="dxa" w:w="2160"/>
          </w:tcPr>
          <w:p>
            <w:r>
              <w:t>Année 3</w:t>
            </w:r>
          </w:p>
        </w:tc>
      </w:tr>
      <w:tr>
        <w:tc>
          <w:tcPr>
            <w:tcW w:type="dxa" w:w="2160"/>
          </w:tcPr>
          <w:p>
            <w:r>
              <w:t>Chiffre d'affaires</w:t>
            </w:r>
          </w:p>
        </w:tc>
        <w:tc>
          <w:tcPr>
            <w:tcW w:type="dxa" w:w="2160"/>
          </w:tcPr>
          <w:p>
            <w:r>
              <w:t>718 000</w:t>
            </w:r>
          </w:p>
        </w:tc>
        <w:tc>
          <w:tcPr>
            <w:tcW w:type="dxa" w:w="2160"/>
          </w:tcPr>
          <w:p>
            <w:r>
              <w:t>718 000</w:t>
            </w:r>
          </w:p>
        </w:tc>
        <w:tc>
          <w:tcPr>
            <w:tcW w:type="dxa" w:w="2160"/>
          </w:tcPr>
          <w:p>
            <w:r>
              <w:t>718 000</w:t>
            </w:r>
          </w:p>
        </w:tc>
      </w:tr>
      <w:tr>
        <w:tc>
          <w:tcPr>
            <w:tcW w:type="dxa" w:w="2160"/>
          </w:tcPr>
          <w:p>
            <w:r>
              <w:t>Achats consommés</w:t>
            </w:r>
          </w:p>
        </w:tc>
        <w:tc>
          <w:tcPr>
            <w:tcW w:type="dxa" w:w="2160"/>
          </w:tcPr>
          <w:p>
            <w:r>
              <w:t>520 000</w:t>
            </w:r>
          </w:p>
        </w:tc>
        <w:tc>
          <w:tcPr>
            <w:tcW w:type="dxa" w:w="2160"/>
          </w:tcPr>
          <w:p>
            <w:r>
              <w:t>525 000</w:t>
            </w:r>
          </w:p>
        </w:tc>
        <w:tc>
          <w:tcPr>
            <w:tcW w:type="dxa" w:w="2160"/>
          </w:tcPr>
          <w:p>
            <w:r>
              <w:t>530 000</w:t>
            </w:r>
          </w:p>
        </w:tc>
      </w:tr>
      <w:tr>
        <w:tc>
          <w:tcPr>
            <w:tcW w:type="dxa" w:w="2160"/>
          </w:tcPr>
          <w:p>
            <w:r>
              <w:t>Charges de personnel</w:t>
            </w:r>
          </w:p>
        </w:tc>
        <w:tc>
          <w:tcPr>
            <w:tcW w:type="dxa" w:w="2160"/>
          </w:tcPr>
          <w:p>
            <w:r>
              <w:t>18 000</w:t>
            </w:r>
          </w:p>
        </w:tc>
        <w:tc>
          <w:tcPr>
            <w:tcW w:type="dxa" w:w="2160"/>
          </w:tcPr>
          <w:p>
            <w:r>
              <w:t>18 500</w:t>
            </w:r>
          </w:p>
        </w:tc>
        <w:tc>
          <w:tcPr>
            <w:tcW w:type="dxa" w:w="2160"/>
          </w:tcPr>
          <w:p>
            <w:r>
              <w:t>19 000</w:t>
            </w:r>
          </w:p>
        </w:tc>
      </w:tr>
      <w:tr>
        <w:tc>
          <w:tcPr>
            <w:tcW w:type="dxa" w:w="2160"/>
          </w:tcPr>
          <w:p>
            <w:r>
              <w:t>Autres charges d'exploitation</w:t>
            </w:r>
          </w:p>
        </w:tc>
        <w:tc>
          <w:tcPr>
            <w:tcW w:type="dxa" w:w="2160"/>
          </w:tcPr>
          <w:p>
            <w:r>
              <w:t>40 000</w:t>
            </w:r>
          </w:p>
        </w:tc>
        <w:tc>
          <w:tcPr>
            <w:tcW w:type="dxa" w:w="2160"/>
          </w:tcPr>
          <w:p>
            <w:r>
              <w:t>41 000</w:t>
            </w:r>
          </w:p>
        </w:tc>
        <w:tc>
          <w:tcPr>
            <w:tcW w:type="dxa" w:w="2160"/>
          </w:tcPr>
          <w:p>
            <w:r>
              <w:t>42 000</w:t>
            </w:r>
          </w:p>
        </w:tc>
      </w:tr>
      <w:tr>
        <w:tc>
          <w:tcPr>
            <w:tcW w:type="dxa" w:w="2160"/>
          </w:tcPr>
          <w:p>
            <w:r>
              <w:t>Dotations aux amortissements</w:t>
            </w:r>
          </w:p>
        </w:tc>
        <w:tc>
          <w:tcPr>
            <w:tcW w:type="dxa" w:w="2160"/>
          </w:tcPr>
          <w:p>
            <w:r>
              <w:t>27 000</w:t>
            </w:r>
          </w:p>
        </w:tc>
        <w:tc>
          <w:tcPr>
            <w:tcW w:type="dxa" w:w="2160"/>
          </w:tcPr>
          <w:p>
            <w:r>
              <w:t>27 000</w:t>
            </w:r>
          </w:p>
        </w:tc>
        <w:tc>
          <w:tcPr>
            <w:tcW w:type="dxa" w:w="2160"/>
          </w:tcPr>
          <w:p>
            <w:r>
              <w:t>27 000</w:t>
            </w:r>
          </w:p>
        </w:tc>
      </w:tr>
      <w:tr>
        <w:tc>
          <w:tcPr>
            <w:tcW w:type="dxa" w:w="2160"/>
          </w:tcPr>
          <w:p>
            <w:r>
              <w:t>Charges financières</w:t>
            </w:r>
          </w:p>
        </w:tc>
        <w:tc>
          <w:tcPr>
            <w:tcW w:type="dxa" w:w="2160"/>
          </w:tcPr>
          <w:p>
            <w:r>
              <w:t>13 000</w:t>
            </w:r>
          </w:p>
        </w:tc>
        <w:tc>
          <w:tcPr>
            <w:tcW w:type="dxa" w:w="2160"/>
          </w:tcPr>
          <w:p>
            <w:r>
              <w:t>11 000</w:t>
            </w:r>
          </w:p>
        </w:tc>
        <w:tc>
          <w:tcPr>
            <w:tcW w:type="dxa" w:w="2160"/>
          </w:tcPr>
          <w:p>
            <w:r>
              <w:t>9 000</w:t>
            </w:r>
          </w:p>
        </w:tc>
      </w:tr>
      <w:tr>
        <w:tc>
          <w:tcPr>
            <w:tcW w:type="dxa" w:w="2160"/>
          </w:tcPr>
          <w:p>
            <w:r>
              <w:t>Impôt sur les sociétés</w:t>
            </w:r>
          </w:p>
        </w:tc>
        <w:tc>
          <w:tcPr>
            <w:tcW w:type="dxa" w:w="2160"/>
          </w:tcPr>
          <w:p>
            <w:r>
              <w:t>20 000</w:t>
            </w:r>
          </w:p>
        </w:tc>
        <w:tc>
          <w:tcPr>
            <w:tcW w:type="dxa" w:w="2160"/>
          </w:tcPr>
          <w:p>
            <w:r>
              <w:t>19 100</w:t>
            </w:r>
          </w:p>
        </w:tc>
        <w:tc>
          <w:tcPr>
            <w:tcW w:type="dxa" w:w="2160"/>
          </w:tcPr>
          <w:p>
            <w:r>
              <w:t>18 200</w:t>
            </w:r>
          </w:p>
        </w:tc>
      </w:tr>
      <w:tr>
        <w:tc>
          <w:tcPr>
            <w:tcW w:type="dxa" w:w="2160"/>
          </w:tcPr>
          <w:p>
            <w:r>
              <w:t>Résultat net</w:t>
            </w:r>
          </w:p>
        </w:tc>
        <w:tc>
          <w:tcPr>
            <w:tcW w:type="dxa" w:w="2160"/>
          </w:tcPr>
          <w:p>
            <w:r>
              <w:t>80 000</w:t>
            </w:r>
          </w:p>
        </w:tc>
        <w:tc>
          <w:tcPr>
            <w:tcW w:type="dxa" w:w="2160"/>
          </w:tcPr>
          <w:p>
            <w:r>
              <w:t>76 400</w:t>
            </w:r>
          </w:p>
        </w:tc>
        <w:tc>
          <w:tcPr>
            <w:tcW w:type="dxa" w:w="2160"/>
          </w:tcPr>
          <w:p>
            <w:r>
              <w:t>72 800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