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Salle de sport et remise en forme (Monastir)</w:t>
      </w:r>
    </w:p>
    <w:p>
      <w:pPr>
        <w:pStyle w:val="Heading1"/>
      </w:pPr>
      <w:r>
        <w:t>Présentation du projet</w:t>
      </w:r>
    </w:p>
    <w:p>
      <w:r>
        <w:t>Ouverture d'une salle de sport mixte de 300 m² à Monastir, avec cours collectifs et coaching individuel. Investissement de 200 000 TND.</w:t>
      </w:r>
    </w:p>
    <w:p>
      <w:pPr>
        <w:pStyle w:val="Heading1"/>
      </w:pPr>
      <w:r>
        <w:t>Les promoteurs</w:t>
      </w:r>
    </w:p>
    <w:p>
      <w:r>
        <w:t>Sami and Dorra, coachs sportifs diplômés, dix ans d'expérience cumulée dans des salles de la région. Un des associés a géré une salle pendant deux ans.</w:t>
      </w:r>
    </w:p>
    <w:p>
      <w:pPr>
        <w:pStyle w:val="Heading1"/>
      </w:pPr>
      <w:r>
        <w:t>Étude de marché</w:t>
      </w:r>
    </w:p>
    <w:p>
      <w:r>
        <w:t>Monastir compte une population jeune et plusieurs hôtels. Il y a trois salles dans la ville, dont une très ancienne. Le sport est de plus en plus pratiqué par les femmes.</w:t>
      </w:r>
    </w:p>
    <w:p>
      <w:pPr>
        <w:pStyle w:val="Heading1"/>
      </w:pPr>
      <w:r>
        <w:t>Plan marketing</w:t>
      </w:r>
    </w:p>
    <w:p>
      <w:r>
        <w:t>Abonnement mensuel à 70 TND, trimestriel à 180 TND. Offre étudiante. Communication sur les réseaux sociaux et partenariat avec l'université.</w:t>
      </w:r>
    </w:p>
    <w:p>
      <w:pPr>
        <w:pStyle w:val="Heading1"/>
      </w:pPr>
      <w:r>
        <w:t>Plan de financement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Emplois</w:t>
            </w:r>
          </w:p>
        </w:tc>
        <w:tc>
          <w:tcPr>
            <w:tcW w:type="dxa" w:w="2160"/>
          </w:tcPr>
          <w:p>
            <w:r>
              <w:t>Montant (TND)</w:t>
            </w:r>
          </w:p>
        </w:tc>
        <w:tc>
          <w:tcPr>
            <w:tcW w:type="dxa" w:w="2160"/>
          </w:tcPr>
          <w:p>
            <w:r>
              <w:t>Ressources</w:t>
            </w:r>
          </w:p>
        </w:tc>
        <w:tc>
          <w:tcPr>
            <w:tcW w:type="dxa" w:w="2160"/>
          </w:tcPr>
          <w:p>
            <w:r>
              <w:t>Montant (TND)</w:t>
            </w:r>
          </w:p>
        </w:tc>
      </w:tr>
      <w:tr>
        <w:tc>
          <w:tcPr>
            <w:tcW w:type="dxa" w:w="2160"/>
          </w:tcPr>
          <w:p>
            <w:r>
              <w:t>Équipements de musculation et cardio</w:t>
            </w:r>
          </w:p>
        </w:tc>
        <w:tc>
          <w:tcPr>
            <w:tcW w:type="dxa" w:w="2160"/>
          </w:tcPr>
          <w:p>
            <w:r>
              <w:t>120 000</w:t>
            </w:r>
          </w:p>
        </w:tc>
        <w:tc>
          <w:tcPr>
            <w:tcW w:type="dxa" w:w="2160"/>
          </w:tcPr>
          <w:p>
            <w:r>
              <w:t>Apport des associés</w:t>
            </w:r>
          </w:p>
        </w:tc>
        <w:tc>
          <w:tcPr>
            <w:tcW w:type="dxa" w:w="2160"/>
          </w:tcPr>
          <w:p>
            <w:r>
              <w:t>80 000</w:t>
            </w:r>
          </w:p>
        </w:tc>
      </w:tr>
      <w:tr>
        <w:tc>
          <w:tcPr>
            <w:tcW w:type="dxa" w:w="2160"/>
          </w:tcPr>
          <w:p>
            <w:r>
              <w:t>Aménagement et vestiaires</w:t>
            </w:r>
          </w:p>
        </w:tc>
        <w:tc>
          <w:tcPr>
            <w:tcW w:type="dxa" w:w="2160"/>
          </w:tcPr>
          <w:p>
            <w:r>
              <w:t>40 000</w:t>
            </w:r>
          </w:p>
        </w:tc>
        <w:tc>
          <w:tcPr>
            <w:tcW w:type="dxa" w:w="2160"/>
          </w:tcPr>
          <w:p>
            <w:r>
              <w:t>Crédit bancaire (5 ans, taux 10,5 %)</w:t>
            </w:r>
          </w:p>
        </w:tc>
        <w:tc>
          <w:tcPr>
            <w:tcW w:type="dxa" w:w="2160"/>
          </w:tcPr>
          <w:p>
            <w:r>
              <w:t>120 000</w:t>
            </w:r>
          </w:p>
        </w:tc>
      </w:tr>
      <w:tr>
        <w:tc>
          <w:tcPr>
            <w:tcW w:type="dxa" w:w="2160"/>
          </w:tcPr>
          <w:p>
            <w:r>
              <w:t>Caution et frais d'ouverture</w:t>
            </w:r>
          </w:p>
        </w:tc>
        <w:tc>
          <w:tcPr>
            <w:tcW w:type="dxa" w:w="2160"/>
          </w:tcPr>
          <w:p>
            <w:r>
              <w:t>15 000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Fonds de roulement</w:t>
            </w:r>
          </w:p>
        </w:tc>
        <w:tc>
          <w:tcPr>
            <w:tcW w:type="dxa" w:w="2160"/>
          </w:tcPr>
          <w:p>
            <w:r>
              <w:t>25 000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emplois</w:t>
            </w:r>
          </w:p>
        </w:tc>
        <w:tc>
          <w:tcPr>
            <w:tcW w:type="dxa" w:w="2160"/>
          </w:tcPr>
          <w:p>
            <w:r>
              <w:t>200 000</w:t>
            </w:r>
          </w:p>
        </w:tc>
        <w:tc>
          <w:tcPr>
            <w:tcW w:type="dxa" w:w="2160"/>
          </w:tcPr>
          <w:p>
            <w:r>
              <w:t>Total ressources</w:t>
            </w:r>
          </w:p>
        </w:tc>
        <w:tc>
          <w:tcPr>
            <w:tcW w:type="dxa" w:w="2160"/>
          </w:tcPr>
          <w:p>
            <w:r>
              <w:t>200 000</w:t>
            </w:r>
          </w:p>
        </w:tc>
      </w:tr>
    </w:tbl>
    <w:p/>
    <w:p>
      <w:pPr>
        <w:pStyle w:val="Heading1"/>
      </w:pPr>
      <w:r>
        <w:t>Prévisions financières</w:t>
      </w:r>
    </w:p>
    <w:p>
      <w:r>
        <w:t>Nous prévoyons 280 abonnés en moyenne la première année, 380 la deuxième et 450 la troisième.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Année 1</w:t>
            </w:r>
          </w:p>
        </w:tc>
        <w:tc>
          <w:tcPr>
            <w:tcW w:type="dxa" w:w="2160"/>
          </w:tcPr>
          <w:p>
            <w:r>
              <w:t>Année 2</w:t>
            </w:r>
          </w:p>
        </w:tc>
        <w:tc>
          <w:tcPr>
            <w:tcW w:type="dxa" w:w="2160"/>
          </w:tcPr>
          <w:p>
            <w:r>
              <w:t>Année 3</w:t>
            </w:r>
          </w:p>
        </w:tc>
      </w:tr>
      <w:tr>
        <w:tc>
          <w:tcPr>
            <w:tcW w:type="dxa" w:w="2160"/>
          </w:tcPr>
          <w:p>
            <w:r>
              <w:t>Chiffre d'affaires</w:t>
            </w:r>
          </w:p>
        </w:tc>
        <w:tc>
          <w:tcPr>
            <w:tcW w:type="dxa" w:w="2160"/>
          </w:tcPr>
          <w:p>
            <w:r>
              <w:t>235 000</w:t>
            </w:r>
          </w:p>
        </w:tc>
        <w:tc>
          <w:tcPr>
            <w:tcW w:type="dxa" w:w="2160"/>
          </w:tcPr>
          <w:p>
            <w:r>
              <w:t>320 000</w:t>
            </w:r>
          </w:p>
        </w:tc>
        <w:tc>
          <w:tcPr>
            <w:tcW w:type="dxa" w:w="2160"/>
          </w:tcPr>
          <w:p>
            <w:r>
              <w:t>380 000</w:t>
            </w:r>
          </w:p>
        </w:tc>
      </w:tr>
      <w:tr>
        <w:tc>
          <w:tcPr>
            <w:tcW w:type="dxa" w:w="2160"/>
          </w:tcPr>
          <w:p>
            <w:r>
              <w:t>Achats consommés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Charges de personnel</w:t>
            </w:r>
          </w:p>
        </w:tc>
        <w:tc>
          <w:tcPr>
            <w:tcW w:type="dxa" w:w="2160"/>
          </w:tcPr>
          <w:p>
            <w:r>
              <w:t>84 000</w:t>
            </w:r>
          </w:p>
        </w:tc>
        <w:tc>
          <w:tcPr>
            <w:tcW w:type="dxa" w:w="2160"/>
          </w:tcPr>
          <w:p>
            <w:r>
              <w:t>96 000</w:t>
            </w:r>
          </w:p>
        </w:tc>
        <w:tc>
          <w:tcPr>
            <w:tcW w:type="dxa" w:w="2160"/>
          </w:tcPr>
          <w:p>
            <w:r>
              <w:t>104 000</w:t>
            </w:r>
          </w:p>
        </w:tc>
      </w:tr>
      <w:tr>
        <w:tc>
          <w:tcPr>
            <w:tcW w:type="dxa" w:w="2160"/>
          </w:tcPr>
          <w:p>
            <w:r>
              <w:t>Autres charges d'exploitation</w:t>
            </w:r>
          </w:p>
        </w:tc>
        <w:tc>
          <w:tcPr>
            <w:tcW w:type="dxa" w:w="2160"/>
          </w:tcPr>
          <w:p>
            <w:r>
              <w:t>30 000</w:t>
            </w:r>
          </w:p>
        </w:tc>
        <w:tc>
          <w:tcPr>
            <w:tcW w:type="dxa" w:w="2160"/>
          </w:tcPr>
          <w:p>
            <w:r>
              <w:t>32 000</w:t>
            </w:r>
          </w:p>
        </w:tc>
        <w:tc>
          <w:tcPr>
            <w:tcW w:type="dxa" w:w="2160"/>
          </w:tcPr>
          <w:p>
            <w:r>
              <w:t>34 000</w:t>
            </w:r>
          </w:p>
        </w:tc>
      </w:tr>
      <w:tr>
        <w:tc>
          <w:tcPr>
            <w:tcW w:type="dxa" w:w="2160"/>
          </w:tcPr>
          <w:p>
            <w:r>
              <w:t>Dotations aux amortissements</w:t>
            </w:r>
          </w:p>
        </w:tc>
        <w:tc>
          <w:tcPr>
            <w:tcW w:type="dxa" w:w="2160"/>
          </w:tcPr>
          <w:p>
            <w:r>
              <w:t>20 000</w:t>
            </w:r>
          </w:p>
        </w:tc>
        <w:tc>
          <w:tcPr>
            <w:tcW w:type="dxa" w:w="2160"/>
          </w:tcPr>
          <w:p>
            <w:r>
              <w:t>20 000</w:t>
            </w:r>
          </w:p>
        </w:tc>
        <w:tc>
          <w:tcPr>
            <w:tcW w:type="dxa" w:w="2160"/>
          </w:tcPr>
          <w:p>
            <w:r>
              <w:t>20 000</w:t>
            </w:r>
          </w:p>
        </w:tc>
      </w:tr>
      <w:tr>
        <w:tc>
          <w:tcPr>
            <w:tcW w:type="dxa" w:w="2160"/>
          </w:tcPr>
          <w:p>
            <w:r>
              <w:t>Charges financières</w:t>
            </w:r>
          </w:p>
        </w:tc>
        <w:tc>
          <w:tcPr>
            <w:tcW w:type="dxa" w:w="2160"/>
          </w:tcPr>
          <w:p>
            <w:r>
              <w:t>11 000</w:t>
            </w:r>
          </w:p>
        </w:tc>
        <w:tc>
          <w:tcPr>
            <w:tcW w:type="dxa" w:w="2160"/>
          </w:tcPr>
          <w:p>
            <w:r>
              <w:t>9 000</w:t>
            </w:r>
          </w:p>
        </w:tc>
        <w:tc>
          <w:tcPr>
            <w:tcW w:type="dxa" w:w="2160"/>
          </w:tcPr>
          <w:p>
            <w:r>
              <w:t>7 500</w:t>
            </w:r>
          </w:p>
        </w:tc>
      </w:tr>
      <w:tr>
        <w:tc>
          <w:tcPr>
            <w:tcW w:type="dxa" w:w="2160"/>
          </w:tcPr>
          <w:p>
            <w:r>
              <w:t>Impôt sur les sociétés</w:t>
            </w:r>
          </w:p>
        </w:tc>
        <w:tc>
          <w:tcPr>
            <w:tcW w:type="dxa" w:w="2160"/>
          </w:tcPr>
          <w:p>
            <w:r>
              <w:t>18 000</w:t>
            </w:r>
          </w:p>
        </w:tc>
        <w:tc>
          <w:tcPr>
            <w:tcW w:type="dxa" w:w="2160"/>
          </w:tcPr>
          <w:p>
            <w:r>
              <w:t>32 600</w:t>
            </w:r>
          </w:p>
        </w:tc>
        <w:tc>
          <w:tcPr>
            <w:tcW w:type="dxa" w:w="2160"/>
          </w:tcPr>
          <w:p>
            <w:r>
              <w:t>42 900</w:t>
            </w:r>
          </w:p>
        </w:tc>
      </w:tr>
      <w:tr>
        <w:tc>
          <w:tcPr>
            <w:tcW w:type="dxa" w:w="2160"/>
          </w:tcPr>
          <w:p>
            <w:r>
              <w:t>Résultat net</w:t>
            </w:r>
          </w:p>
        </w:tc>
        <w:tc>
          <w:tcPr>
            <w:tcW w:type="dxa" w:w="2160"/>
          </w:tcPr>
          <w:p>
            <w:r>
              <w:t>72 000</w:t>
            </w:r>
          </w:p>
        </w:tc>
        <w:tc>
          <w:tcPr>
            <w:tcW w:type="dxa" w:w="2160"/>
          </w:tcPr>
          <w:p>
            <w:r>
              <w:t>130 400</w:t>
            </w:r>
          </w:p>
        </w:tc>
        <w:tc>
          <w:tcPr>
            <w:tcW w:type="dxa" w:w="2160"/>
          </w:tcPr>
          <w:p>
            <w:r>
              <w:t>171 600</w:t>
            </w:r>
          </w:p>
        </w:tc>
      </w:tr>
    </w:tbl>
    <w:p/>
    <w:p>
      <w:pPr>
        <w:pStyle w:val="Heading1"/>
      </w:pPr>
      <w:r>
        <w:t>Risques</w:t>
      </w:r>
    </w:p>
    <w:p>
      <w:r>
        <w:t>Départ des abonnés après l'été, concurrence des salles voisines.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