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</w:rPr>
        <w:t xml:space="preserve">HW8: Agent Registry — Financial Reporting + Scale Test</w:t>
      </w:r>
    </w:p>
    <w:p>
      <w:pPr>
        <w:spacing w:after="20"/>
      </w:pPr>
      <w:r>
        <w:rPr>
          <w:rFonts w:ascii="Arial" w:cs="Arial" w:eastAsia="Arial" w:hAnsi="Arial"/>
          <w:color w:val="666666"/>
          <w:sz w:val="17"/>
          <w:szCs w:val="17"/>
        </w:rPr>
        <w:t xml:space="preserve">April 16, 2026  |  Base Sepolia  |  30 agents on Hetzner VPS  |  agent-registry-seven.vercel.app</w:t>
      </w:r>
    </w:p>
    <w:p>
      <w:pPr>
        <w:pBdr>
          <w:bottom w:val="single" w:color="1A5276" w:sz="4" w:space="1"/>
        </w:pBd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What Changed Since HW7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HW7 tested 6 simulated wallet registrations from local + Vercel serverless. HW8 adds three major improvements:</w:t>
      </w:r>
    </w:p>
    <w:p>
      <w:pPr>
        <w:spacing w:after="5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1. Financial Reporting: Each agent now has an auto-generated income statement (Revenue, COGS, Gross Profit, SGA, Operating Profit, Tax, Net Income) computed from labeled on-chain transactions.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2. Wallet Dictionary: Bidirectional agent-to-wallet mapping stored in Neon Postgres, with BaseScan-powered transaction sync and auto-classification (revenue, cost_of_sales, sga_expense, registration_fee).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3. Real Agents at Scale: 30 OpenClaw agents deployed on a Hetzner VPS in Nuremberg, Germany — each with its own wallet, SOUL.md identity, and ERC-8004 registry skill. Not simulated.</w:t>
      </w:r>
    </w:p>
    <w:p>
      <w:pPr>
        <w:pStyle w:val="Heading2"/>
      </w:pPr>
      <w:r>
        <w:rPr>
          <w:rFonts w:ascii="Arial" w:cs="Arial" w:eastAsia="Arial" w:hAnsi="Arial"/>
        </w:rPr>
        <w:t xml:space="preserve">Scaled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00"/>
        <w:gridCol w:w="3260"/>
      </w:tblGrid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Component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HW7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HW8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Agents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 simulated wallets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30 OpenClaw agents on 2 Hetzner VPSes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Infrastructure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Local machine + Vercel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 VPSes (Nuremberg + Helsinki) + Vercel + Neon Postgres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Agent type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Scripts generating keys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OpenClaw with SOUL.md + ERC-8004 skill + Gemini LLM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Financial reporting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None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Auto income statements from on-chain transactions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Database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None (chain reads only)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Neon Postgres (wallets + labeled transactions)</w:t>
            </w:r>
          </w:p>
        </w:tc>
      </w:tr>
      <w:tr>
        <w:tc>
          <w:tcPr>
            <w:tcW w:type="dxa" w:w="3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Transactions tracked</w:t>
            </w:r>
          </w:p>
        </w:tc>
        <w:tc>
          <w:tcPr>
            <w:tcW w:type="dxa" w:w="31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32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184 transactions via Blockscout sync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Metric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Agents provisioned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Agents registered on-chain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30 / 30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Cloud instances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 (Nuremberg + Helsinki)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registration time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62 seconds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Avg time per registration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~2.1 seconds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Gas per registration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~177,000 gas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Cost per registration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~$0.001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VPS location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Nuremberg, Germany</w:t>
            </w:r>
          </w:p>
        </w:tc>
      </w:tr>
      <w:tr>
        <w:tc>
          <w:tcPr>
            <w:tcW w:type="dxa" w:w="500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VPS cost</w:t>
            </w:r>
          </w:p>
        </w:tc>
        <w:tc>
          <w:tcPr>
            <w:tcW w:type="dxa" w:w="4360"/>
            <w:tcBorders>
              <w:top w:val="single" w:color="D0D0D0" w:sz="1"/>
              <w:left w:val="single" w:color="D0D0D0" w:sz="1"/>
              <w:bottom w:val="single" w:color="D0D0D0" w:sz="1"/>
              <w:right w:val="single" w:color="D0D0D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~$4/month (Hetzner cax11)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Failures and Bottlenecks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CDP Faucet Rate Limiting: </w:t>
      </w:r>
      <w:r>
        <w:rPr>
          <w:rFonts w:ascii="Arial" w:cs="Arial" w:eastAsia="Arial" w:hAnsi="Arial"/>
          <w:sz w:val="17"/>
          <w:szCs w:val="17"/>
        </w:rPr>
        <w:t xml:space="preserve">Only 28/30 funded — faucet allows ~20 claims before throttling. On mainnet, Paymaster eliminates this entirely.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Sequential Registration: </w:t>
      </w:r>
      <w:r>
        <w:rPr>
          <w:rFonts w:ascii="Arial" w:cs="Arial" w:eastAsia="Arial" w:hAnsi="Arial"/>
          <w:sz w:val="17"/>
          <w:szCs w:val="17"/>
        </w:rPr>
        <w:t xml:space="preserve">Each registration takes ~2s (RPC round-trip). At 30 agents this is 62s. Parallelizing with nonce management could reduce to ~10s.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BaseScan API Throttling: </w:t>
      </w:r>
      <w:r>
        <w:rPr>
          <w:rFonts w:ascii="Arial" w:cs="Arial" w:eastAsia="Arial" w:hAnsi="Arial"/>
          <w:sz w:val="17"/>
          <w:szCs w:val="17"/>
        </w:rPr>
        <w:t xml:space="preserve">Free tier allows 5 req/sec. Syncing 30 agents sequentially takes ~6-10s. Acceptable for now; subgraph would be instant.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Income Statement Accuracy: </w:t>
      </w:r>
      <w:r>
        <w:rPr>
          <w:rFonts w:ascii="Arial" w:cs="Arial" w:eastAsia="Arial" w:hAnsi="Arial"/>
          <w:sz w:val="17"/>
          <w:szCs w:val="17"/>
        </w:rPr>
        <w:t xml:space="preserve">Auto-classification is rule-based (incoming=revenue, outgoing=expense). Misclassifications require manual override via PATCH API.</w:t>
      </w:r>
    </w:p>
    <w:p>
      <w:pPr>
        <w:pStyle w:val="Heading2"/>
      </w:pPr>
      <w:r>
        <w:rPr>
          <w:rFonts w:ascii="Arial" w:cs="Arial" w:eastAsia="Arial" w:hAnsi="Arial"/>
        </w:rPr>
        <w:t xml:space="preserve">What We Added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Neon Postgres database with agent_wallets and transactions tables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6 new API routes: /wallets, /transactions, /sync, /financials, /wallets/:address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BaseScan transaction sync with auto-classification engine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Income statement computation (Revenue → COGS → Gross Profit → SGA → Op Profit → Tax → Net Income)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Financials tab on agent detail page with income statement card + breakdown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30 OpenClaw agent configs with SOUL.md identities and ERC-8004 registry skill</w:t>
      </w:r>
    </w:p>
    <w:p>
      <w:pPr>
        <w:spacing w:after="50"/>
      </w:pPr>
      <w:r>
        <w:rPr>
          <w:rFonts w:ascii="Arial" w:cs="Arial" w:eastAsia="Arial" w:hAnsi="Arial"/>
          <w:sz w:val="17"/>
          <w:szCs w:val="17"/>
        </w:rPr>
        <w:t xml:space="preserve">• Hetzner VPS deployment with automated registration script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40" w:before="120"/>
      <w:outlineLvl w:val="1"/>
    </w:pPr>
    <w:rPr>
      <w:rFonts w:ascii="Arial" w:cs="Arial" w:eastAsia="Arial" w:hAnsi="Arial"/>
      <w:b/>
      <w:bCs/>
      <w:color w:val="1A527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2026-04-16T05:29:20.584Z</dcterms:created>
  <dcterms:modified xsi:type="dcterms:W3CDTF">2026-04-16T05:29:20.586Z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