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22.18 · 8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once, by themselves,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Fill rules (v21.71, Eyal): GH1–GH6 are filled to 60 cm in the morning round, and at any round when the level is under 30 cm (the water may be hot — the temperature is recorded and flagged); 1 L of A and 1 L of B per 10 cm added, pure water, whole liters. GH7 and GH8: fill to 100 cm when under 50 cm, 1 L per 12 cm. GH9: fill to 50 cm, 2 L per 10 cm. GH10: 1 L per 10 cm, and when the EC is still under 1.7 after mixing add 1 L more of A and B, re-check, until about 1.7. EC should be around 1.7 (ok 1.6–1.8), pH 5.6–6.5. The Nexi says column states the rule it applied. Pools without a rule (PRJ11–16) still use the EC matrix.</w:t>
      </w:r>
    </w:p>
    <w:p>
      <w:r>
        <w:t>Two meters (v21.70, Eyal): each pool is read with the controller AND the handheld meter. When both EC readings (and both pH readings) agree within the drift thresholds, Nexi doses on the average; when they differ beyond the critical drift the row says CALIBRATE in red and gives no A/B/C until they agree. Water source per fill — Pure, Over-tank or Mix % — reduces the A/B dose by the nutrient share the added water already carries (over-tank EC set in the toolbar). The last column, Nexi says, is the instruction for Reven in one line; 📋 Export for Reven writes the whole round as one Excel sheet.</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