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21.40 · 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Guide Nexi</w:t>
      </w:r>
    </w:p>
    <w:p>
      <w:pPr>
        <w:pStyle w:val="ListNumber"/>
      </w:pPr>
      <w:r>
        <w:t>Tick modules, write your instructions, press Read my instructions</w:t>
      </w:r>
    </w:p>
    <w:p>
      <w:pPr>
        <w:pStyle w:val="ListNumber"/>
      </w:pPr>
      <w:r>
        <w:t>Press Save &amp; activate my morning briefing</w:t>
      </w:r>
    </w:p>
    <w:p>
      <w:pPr>
        <w:pStyle w:val="ListNumber"/>
      </w:pPr>
      <w:r>
        <w:t>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 Harvest (Packaging and Production,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